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spacing w:before="87"/>
        <w:ind w:left="1483" w:right="1520" w:firstLine="0"/>
        <w:jc w:val="center"/>
        <w:rPr>
          <w:sz w:val="40"/>
        </w:rPr>
      </w:pPr>
      <w:r>
        <w:rPr>
          <w:sz w:val="40"/>
        </w:rPr>
        <w:t>Work From Home Dress Code Policy</w:t>
      </w:r>
    </w:p>
    <w:p>
      <w:pPr>
        <w:pStyle w:val="BodyText"/>
        <w:spacing w:line="276" w:lineRule="auto" w:before="189"/>
        <w:ind w:left="100" w:right="189"/>
      </w:pPr>
      <w:r>
        <w:rPr/>
        <w:t>[Company] strives to provide employees the freedom to wear what’s comfortable for them while keeping a professional appearance when they work from home (WFH). This policy gives guidance on what is appropriate for employees to wear but is not intended to be overly restrictive—rather, it is intended to provide a guide for all employees to be productive while working from home.</w:t>
      </w:r>
    </w:p>
    <w:p>
      <w:pPr>
        <w:pStyle w:val="BodyText"/>
        <w:spacing w:before="3"/>
        <w:rPr>
          <w:sz w:val="25"/>
        </w:rPr>
      </w:pPr>
    </w:p>
    <w:p>
      <w:pPr>
        <w:spacing w:line="276" w:lineRule="auto" w:before="0"/>
        <w:ind w:left="100" w:right="189" w:firstLine="0"/>
        <w:jc w:val="left"/>
        <w:rPr>
          <w:b/>
          <w:sz w:val="22"/>
        </w:rPr>
      </w:pPr>
      <w:r>
        <w:rPr>
          <w:sz w:val="22"/>
        </w:rPr>
        <w:t>Our goal is to provide a professional, yet relaxed environment for employees to do their best work and provide a positive image to clients and customers. </w:t>
      </w:r>
      <w:r>
        <w:rPr>
          <w:b/>
          <w:sz w:val="22"/>
        </w:rPr>
        <w:t>Any employee who does not meet the specific standards will be subject to disciplinary action.</w:t>
      </w:r>
    </w:p>
    <w:p>
      <w:pPr>
        <w:pStyle w:val="BodyText"/>
        <w:rPr>
          <w:b/>
          <w:sz w:val="24"/>
        </w:rPr>
      </w:pPr>
    </w:p>
    <w:p>
      <w:pPr>
        <w:pStyle w:val="BodyText"/>
        <w:spacing w:before="7"/>
        <w:rPr>
          <w:b/>
          <w:sz w:val="32"/>
        </w:rPr>
      </w:pPr>
    </w:p>
    <w:p>
      <w:pPr>
        <w:pStyle w:val="Heading1"/>
      </w:pPr>
      <w:r>
        <w:rPr/>
        <w:t>General Policy Requirements</w:t>
      </w:r>
    </w:p>
    <w:p>
      <w:pPr>
        <w:pStyle w:val="BodyText"/>
        <w:spacing w:before="6"/>
        <w:rPr>
          <w:sz w:val="40"/>
        </w:rPr>
      </w:pPr>
    </w:p>
    <w:p>
      <w:pPr>
        <w:spacing w:line="276" w:lineRule="auto" w:before="0"/>
        <w:ind w:left="100" w:right="189" w:firstLine="0"/>
        <w:jc w:val="left"/>
        <w:rPr>
          <w:b/>
          <w:sz w:val="22"/>
        </w:rPr>
      </w:pPr>
      <w:r>
        <w:rPr>
          <w:sz w:val="22"/>
        </w:rPr>
        <w:t>Outside of any additional requirements listed below, [Company] adheres to a </w:t>
      </w:r>
      <w:r>
        <w:rPr>
          <w:b/>
          <w:sz w:val="22"/>
        </w:rPr>
        <w:t>casual dress code</w:t>
      </w:r>
      <w:r>
        <w:rPr>
          <w:sz w:val="22"/>
        </w:rPr>
        <w:t>. [Company] defines </w:t>
      </w:r>
      <w:r>
        <w:rPr>
          <w:b/>
          <w:sz w:val="22"/>
        </w:rPr>
        <w:t>casual dress </w:t>
      </w:r>
      <w:r>
        <w:rPr>
          <w:sz w:val="22"/>
        </w:rPr>
        <w:t>as any clothing that is appropriate for work, and may include: </w:t>
      </w:r>
      <w:r>
        <w:rPr>
          <w:b/>
          <w:sz w:val="22"/>
        </w:rPr>
        <w:t>T-shirts, casual hoodies, company-branded clothing, and any other non-political and non-offensive clothing.</w:t>
      </w:r>
    </w:p>
    <w:p>
      <w:pPr>
        <w:pStyle w:val="BodyText"/>
        <w:spacing w:before="4"/>
        <w:rPr>
          <w:b/>
          <w:sz w:val="25"/>
        </w:rPr>
      </w:pPr>
    </w:p>
    <w:p>
      <w:pPr>
        <w:spacing w:before="0"/>
        <w:ind w:left="100" w:right="0" w:firstLine="0"/>
        <w:jc w:val="left"/>
        <w:rPr>
          <w:b/>
          <w:sz w:val="22"/>
        </w:rPr>
      </w:pPr>
      <w:r>
        <w:rPr>
          <w:rFonts w:ascii="Times New Roman"/>
          <w:spacing w:val="-55"/>
          <w:sz w:val="22"/>
          <w:u w:val="thick"/>
        </w:rPr>
        <w:t> </w:t>
      </w:r>
      <w:r>
        <w:rPr>
          <w:b/>
          <w:sz w:val="22"/>
          <w:u w:val="thick"/>
        </w:rPr>
        <w:t>Tight, revealing, and other inappropriate workplace attire is not permitted.</w:t>
      </w:r>
    </w:p>
    <w:p>
      <w:pPr>
        <w:pStyle w:val="BodyText"/>
        <w:rPr>
          <w:b/>
          <w:sz w:val="24"/>
        </w:rPr>
      </w:pPr>
    </w:p>
    <w:p>
      <w:pPr>
        <w:pStyle w:val="BodyText"/>
        <w:spacing w:before="10"/>
        <w:rPr>
          <w:b/>
          <w:sz w:val="35"/>
        </w:rPr>
      </w:pPr>
    </w:p>
    <w:p>
      <w:pPr>
        <w:spacing w:line="276" w:lineRule="auto" w:before="0"/>
        <w:ind w:left="100" w:right="189" w:firstLine="0"/>
        <w:jc w:val="left"/>
        <w:rPr>
          <w:sz w:val="32"/>
        </w:rPr>
      </w:pPr>
      <w:r>
        <w:rPr>
          <w:sz w:val="32"/>
        </w:rPr>
        <w:t>Requirements for All Staff Meetings and Customer-Facing Meetings</w:t>
      </w:r>
    </w:p>
    <w:p>
      <w:pPr>
        <w:pStyle w:val="BodyText"/>
        <w:spacing w:before="8"/>
        <w:rPr>
          <w:sz w:val="35"/>
        </w:rPr>
      </w:pPr>
    </w:p>
    <w:p>
      <w:pPr>
        <w:spacing w:before="1"/>
        <w:ind w:left="100" w:right="0" w:firstLine="0"/>
        <w:jc w:val="left"/>
        <w:rPr>
          <w:sz w:val="22"/>
        </w:rPr>
      </w:pPr>
      <w:r>
        <w:rPr>
          <w:sz w:val="22"/>
        </w:rPr>
        <w:t>[Company] adheres to a </w:t>
      </w:r>
      <w:r>
        <w:rPr>
          <w:b/>
          <w:sz w:val="22"/>
        </w:rPr>
        <w:t>business casual dress code </w:t>
      </w:r>
      <w:r>
        <w:rPr>
          <w:sz w:val="22"/>
        </w:rPr>
        <w:t>for all staff meetings and</w:t>
      </w:r>
    </w:p>
    <w:p>
      <w:pPr>
        <w:spacing w:line="276" w:lineRule="auto" w:before="38"/>
        <w:ind w:left="100" w:right="189" w:firstLine="0"/>
        <w:jc w:val="left"/>
        <w:rPr>
          <w:b/>
          <w:sz w:val="22"/>
        </w:rPr>
      </w:pPr>
      <w:r>
        <w:rPr>
          <w:sz w:val="22"/>
        </w:rPr>
        <w:t>customer-facing meetings. We define </w:t>
      </w:r>
      <w:r>
        <w:rPr>
          <w:b/>
          <w:sz w:val="22"/>
        </w:rPr>
        <w:t>business casual </w:t>
      </w:r>
      <w:r>
        <w:rPr>
          <w:sz w:val="22"/>
        </w:rPr>
        <w:t>as </w:t>
      </w:r>
      <w:r>
        <w:rPr>
          <w:b/>
          <w:sz w:val="22"/>
        </w:rPr>
        <w:t>any attire with [Company’s] name or logo, collared shirts or blouses, sweaters, and professional pullovers without hoods.</w:t>
      </w:r>
    </w:p>
    <w:p>
      <w:pPr>
        <w:pStyle w:val="BodyText"/>
        <w:spacing w:before="3"/>
        <w:rPr>
          <w:b/>
          <w:sz w:val="25"/>
        </w:rPr>
      </w:pPr>
    </w:p>
    <w:p>
      <w:pPr>
        <w:spacing w:before="0"/>
        <w:ind w:left="100" w:right="0" w:firstLine="0"/>
        <w:jc w:val="left"/>
        <w:rPr>
          <w:b/>
          <w:sz w:val="22"/>
        </w:rPr>
      </w:pPr>
      <w:r>
        <w:rPr>
          <w:rFonts w:ascii="Times New Roman"/>
          <w:spacing w:val="-55"/>
          <w:sz w:val="22"/>
          <w:u w:val="thick"/>
        </w:rPr>
        <w:t> </w:t>
      </w:r>
      <w:r>
        <w:rPr>
          <w:b/>
          <w:sz w:val="22"/>
          <w:u w:val="thick"/>
        </w:rPr>
        <w:t>Tight, revealing, and other inappropriate workplace attire is not permitted.</w:t>
      </w:r>
    </w:p>
    <w:p>
      <w:pPr>
        <w:pStyle w:val="BodyText"/>
        <w:rPr>
          <w:b/>
          <w:sz w:val="24"/>
        </w:rPr>
      </w:pPr>
    </w:p>
    <w:p>
      <w:pPr>
        <w:pStyle w:val="BodyText"/>
        <w:spacing w:before="10"/>
        <w:rPr>
          <w:b/>
          <w:sz w:val="35"/>
        </w:rPr>
      </w:pPr>
    </w:p>
    <w:p>
      <w:pPr>
        <w:spacing w:before="0"/>
        <w:ind w:left="100" w:right="0" w:firstLine="0"/>
        <w:jc w:val="left"/>
        <w:rPr>
          <w:sz w:val="32"/>
        </w:rPr>
      </w:pPr>
      <w:r>
        <w:rPr>
          <w:sz w:val="32"/>
        </w:rPr>
        <w:t>Reasonable Accommodation of Religious Beliefs</w:t>
      </w:r>
    </w:p>
    <w:p>
      <w:pPr>
        <w:pStyle w:val="BodyText"/>
        <w:spacing w:before="6"/>
        <w:rPr>
          <w:sz w:val="40"/>
        </w:rPr>
      </w:pPr>
    </w:p>
    <w:p>
      <w:pPr>
        <w:spacing w:line="276" w:lineRule="auto" w:before="1"/>
        <w:ind w:left="100" w:right="189" w:firstLine="0"/>
        <w:jc w:val="left"/>
        <w:rPr>
          <w:sz w:val="22"/>
        </w:rPr>
      </w:pPr>
      <w:r>
        <w:rPr>
          <w:sz w:val="22"/>
        </w:rPr>
        <w:t>[Company] understands that employees have deeply held religious beliefs and will reasonably accommodate adjustments to this policy to allow an employee to dress according to their religion </w:t>
      </w:r>
      <w:r>
        <w:rPr>
          <w:b/>
          <w:sz w:val="22"/>
        </w:rPr>
        <w:t>unless the accommodation creates an undue hardship for [Company]</w:t>
      </w:r>
      <w:r>
        <w:rPr>
          <w:sz w:val="22"/>
        </w:rPr>
        <w:t>.</w:t>
      </w:r>
    </w:p>
    <w:p>
      <w:pPr>
        <w:spacing w:after="0" w:line="276" w:lineRule="auto"/>
        <w:jc w:val="left"/>
        <w:rPr>
          <w:sz w:val="22"/>
        </w:rPr>
        <w:sectPr>
          <w:type w:val="continuous"/>
          <w:pgSz w:w="12240" w:h="15840"/>
          <w:pgMar w:top="1500" w:bottom="280" w:left="1340" w:right="1300"/>
        </w:sectPr>
      </w:pPr>
    </w:p>
    <w:p>
      <w:pPr>
        <w:pStyle w:val="BodyText"/>
        <w:spacing w:before="80"/>
        <w:ind w:left="100"/>
      </w:pPr>
      <w:r>
        <w:rPr/>
        <w:t>If you are requesting an attire accommodation for a religious belief, please see HR.</w:t>
      </w:r>
    </w:p>
    <w:p>
      <w:pPr>
        <w:pStyle w:val="BodyText"/>
        <w:rPr>
          <w:sz w:val="24"/>
        </w:rPr>
      </w:pPr>
    </w:p>
    <w:p>
      <w:pPr>
        <w:pStyle w:val="BodyText"/>
        <w:spacing w:before="10"/>
        <w:rPr>
          <w:sz w:val="35"/>
        </w:rPr>
      </w:pPr>
    </w:p>
    <w:p>
      <w:pPr>
        <w:pStyle w:val="Heading1"/>
      </w:pPr>
      <w:r>
        <w:rPr/>
        <w:t>Examples of Appropriate Attire</w:t>
      </w:r>
    </w:p>
    <w:p>
      <w:pPr>
        <w:pStyle w:val="BodyText"/>
        <w:spacing w:before="6"/>
        <w:rPr>
          <w:sz w:val="40"/>
        </w:rPr>
      </w:pPr>
    </w:p>
    <w:p>
      <w:pPr>
        <w:pStyle w:val="BodyText"/>
        <w:spacing w:line="276" w:lineRule="auto"/>
        <w:ind w:left="100" w:right="189"/>
      </w:pPr>
      <w:r>
        <w:rPr/>
        <w:t>Listed below is a non-exhaustive list of appropriate attire under this policy. Items not listed here may still be worn so long as they meet [Company] guidelines.</w:t>
      </w:r>
    </w:p>
    <w:p>
      <w:pPr>
        <w:pStyle w:val="BodyText"/>
        <w:spacing w:before="6" w:after="1"/>
        <w:rPr>
          <w:sz w:val="24"/>
        </w:rPr>
      </w:pPr>
    </w:p>
    <w:tbl>
      <w:tblPr>
        <w:tblW w:w="0" w:type="auto"/>
        <w:jc w:val="left"/>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680"/>
        <w:gridCol w:w="4680"/>
      </w:tblGrid>
      <w:tr>
        <w:trPr>
          <w:trHeight w:val="450" w:hRule="atLeast"/>
        </w:trPr>
        <w:tc>
          <w:tcPr>
            <w:tcW w:w="4680" w:type="dxa"/>
          </w:tcPr>
          <w:p>
            <w:pPr>
              <w:pStyle w:val="TableParagraph"/>
              <w:spacing w:before="103"/>
              <w:ind w:left="1420"/>
              <w:rPr>
                <w:b/>
                <w:sz w:val="22"/>
              </w:rPr>
            </w:pPr>
            <w:r>
              <w:rPr>
                <w:b/>
                <w:sz w:val="22"/>
              </w:rPr>
              <w:t>Casual Examples</w:t>
            </w:r>
          </w:p>
        </w:tc>
        <w:tc>
          <w:tcPr>
            <w:tcW w:w="4680" w:type="dxa"/>
          </w:tcPr>
          <w:p>
            <w:pPr>
              <w:pStyle w:val="TableParagraph"/>
              <w:spacing w:before="103"/>
              <w:ind w:left="901"/>
              <w:rPr>
                <w:b/>
                <w:sz w:val="22"/>
              </w:rPr>
            </w:pPr>
            <w:r>
              <w:rPr>
                <w:b/>
                <w:sz w:val="22"/>
              </w:rPr>
              <w:t>Business Casual Examples</w:t>
            </w:r>
          </w:p>
        </w:tc>
      </w:tr>
      <w:tr>
        <w:trPr>
          <w:trHeight w:val="449" w:hRule="atLeast"/>
        </w:trPr>
        <w:tc>
          <w:tcPr>
            <w:tcW w:w="4680" w:type="dxa"/>
          </w:tcPr>
          <w:p>
            <w:pPr>
              <w:pStyle w:val="TableParagraph"/>
              <w:spacing w:before="101"/>
              <w:rPr>
                <w:sz w:val="22"/>
              </w:rPr>
            </w:pPr>
            <w:r>
              <w:rPr>
                <w:sz w:val="22"/>
              </w:rPr>
              <w:t>Any company-branded clothing</w:t>
            </w:r>
          </w:p>
        </w:tc>
        <w:tc>
          <w:tcPr>
            <w:tcW w:w="4680" w:type="dxa"/>
          </w:tcPr>
          <w:p>
            <w:pPr>
              <w:pStyle w:val="TableParagraph"/>
              <w:spacing w:before="101"/>
              <w:rPr>
                <w:sz w:val="22"/>
              </w:rPr>
            </w:pPr>
            <w:r>
              <w:rPr>
                <w:sz w:val="22"/>
              </w:rPr>
              <w:t>Any company-branded clothing</w:t>
            </w:r>
          </w:p>
        </w:tc>
      </w:tr>
      <w:tr>
        <w:trPr>
          <w:trHeight w:val="450" w:hRule="atLeast"/>
        </w:trPr>
        <w:tc>
          <w:tcPr>
            <w:tcW w:w="4680" w:type="dxa"/>
          </w:tcPr>
          <w:p>
            <w:pPr>
              <w:pStyle w:val="TableParagraph"/>
              <w:spacing w:before="99"/>
              <w:rPr>
                <w:sz w:val="22"/>
              </w:rPr>
            </w:pPr>
            <w:r>
              <w:rPr>
                <w:sz w:val="22"/>
              </w:rPr>
              <w:t>Non-political T-shirts</w:t>
            </w:r>
          </w:p>
        </w:tc>
        <w:tc>
          <w:tcPr>
            <w:tcW w:w="4680" w:type="dxa"/>
          </w:tcPr>
          <w:p>
            <w:pPr>
              <w:pStyle w:val="TableParagraph"/>
              <w:spacing w:before="99"/>
              <w:rPr>
                <w:sz w:val="22"/>
              </w:rPr>
            </w:pPr>
            <w:r>
              <w:rPr>
                <w:sz w:val="22"/>
              </w:rPr>
              <w:t>All shirts and blouses with collars</w:t>
            </w:r>
          </w:p>
        </w:tc>
      </w:tr>
      <w:tr>
        <w:trPr>
          <w:trHeight w:val="450" w:hRule="atLeast"/>
        </w:trPr>
        <w:tc>
          <w:tcPr>
            <w:tcW w:w="4680" w:type="dxa"/>
          </w:tcPr>
          <w:p>
            <w:pPr>
              <w:pStyle w:val="TableParagraph"/>
              <w:spacing w:before="97"/>
              <w:rPr>
                <w:sz w:val="22"/>
              </w:rPr>
            </w:pPr>
            <w:r>
              <w:rPr>
                <w:sz w:val="22"/>
              </w:rPr>
              <w:t>Non-offensive T-shirts</w:t>
            </w:r>
          </w:p>
        </w:tc>
        <w:tc>
          <w:tcPr>
            <w:tcW w:w="4680" w:type="dxa"/>
          </w:tcPr>
          <w:p>
            <w:pPr>
              <w:pStyle w:val="TableParagraph"/>
              <w:spacing w:before="97"/>
              <w:rPr>
                <w:sz w:val="22"/>
              </w:rPr>
            </w:pPr>
            <w:r>
              <w:rPr>
                <w:sz w:val="22"/>
              </w:rPr>
              <w:t>Sweaters and pullovers without hoods</w:t>
            </w:r>
          </w:p>
        </w:tc>
      </w:tr>
      <w:tr>
        <w:trPr>
          <w:trHeight w:val="429" w:hRule="atLeast"/>
        </w:trPr>
        <w:tc>
          <w:tcPr>
            <w:tcW w:w="4680" w:type="dxa"/>
          </w:tcPr>
          <w:p>
            <w:pPr>
              <w:pStyle w:val="TableParagraph"/>
              <w:rPr>
                <w:sz w:val="22"/>
              </w:rPr>
            </w:pPr>
            <w:r>
              <w:rPr>
                <w:sz w:val="22"/>
              </w:rPr>
              <w:t>Pullovers and hoodies</w:t>
            </w:r>
          </w:p>
        </w:tc>
        <w:tc>
          <w:tcPr>
            <w:tcW w:w="4680" w:type="dxa"/>
          </w:tcPr>
          <w:p>
            <w:pPr>
              <w:pStyle w:val="TableParagraph"/>
              <w:rPr>
                <w:sz w:val="22"/>
              </w:rPr>
            </w:pPr>
            <w:r>
              <w:rPr>
                <w:sz w:val="22"/>
              </w:rPr>
              <w:t>Jacket or blazer</w:t>
            </w:r>
          </w:p>
        </w:tc>
      </w:tr>
      <w:tr>
        <w:trPr>
          <w:trHeight w:val="449" w:hRule="atLeast"/>
        </w:trPr>
        <w:tc>
          <w:tcPr>
            <w:tcW w:w="4680" w:type="dxa"/>
          </w:tcPr>
          <w:p>
            <w:pPr>
              <w:pStyle w:val="TableParagraph"/>
              <w:spacing w:before="113"/>
              <w:rPr>
                <w:sz w:val="22"/>
              </w:rPr>
            </w:pPr>
            <w:r>
              <w:rPr>
                <w:sz w:val="22"/>
              </w:rPr>
              <w:t>Crew Neck and v-neck shirts</w:t>
            </w:r>
          </w:p>
        </w:tc>
        <w:tc>
          <w:tcPr>
            <w:tcW w:w="4680" w:type="dxa"/>
          </w:tcPr>
          <w:p>
            <w:pPr>
              <w:pStyle w:val="TableParagraph"/>
              <w:spacing w:before="113"/>
              <w:rPr>
                <w:sz w:val="22"/>
              </w:rPr>
            </w:pPr>
            <w:r>
              <w:rPr>
                <w:sz w:val="22"/>
              </w:rPr>
              <w:t>Button-down shirts and blouses</w:t>
            </w:r>
          </w:p>
        </w:tc>
      </w:tr>
      <w:tr>
        <w:trPr>
          <w:trHeight w:val="790" w:hRule="atLeast"/>
        </w:trPr>
        <w:tc>
          <w:tcPr>
            <w:tcW w:w="4680" w:type="dxa"/>
          </w:tcPr>
          <w:p>
            <w:pPr>
              <w:pStyle w:val="TableParagraph"/>
              <w:spacing w:line="276" w:lineRule="auto" w:before="111"/>
              <w:rPr>
                <w:sz w:val="22"/>
              </w:rPr>
            </w:pPr>
            <w:r>
              <w:rPr>
                <w:sz w:val="22"/>
              </w:rPr>
              <w:t>Tight, revealing, and other inappropriate workplace attire is not permitted</w:t>
            </w:r>
          </w:p>
        </w:tc>
        <w:tc>
          <w:tcPr>
            <w:tcW w:w="4680" w:type="dxa"/>
          </w:tcPr>
          <w:p>
            <w:pPr>
              <w:pStyle w:val="TableParagraph"/>
              <w:spacing w:line="276" w:lineRule="auto" w:before="111"/>
              <w:rPr>
                <w:sz w:val="22"/>
              </w:rPr>
            </w:pPr>
            <w:r>
              <w:rPr>
                <w:sz w:val="22"/>
              </w:rPr>
              <w:t>Tight, revealing, and other inappropriate workplace attire is not permitted</w:t>
            </w:r>
          </w:p>
        </w:tc>
      </w:tr>
    </w:tbl>
    <w:p>
      <w:pPr>
        <w:pStyle w:val="BodyText"/>
        <w:rPr>
          <w:sz w:val="24"/>
        </w:rPr>
      </w:pPr>
    </w:p>
    <w:p>
      <w:pPr>
        <w:pStyle w:val="BodyText"/>
        <w:spacing w:before="5"/>
        <w:rPr>
          <w:sz w:val="32"/>
        </w:rPr>
      </w:pPr>
    </w:p>
    <w:p>
      <w:pPr>
        <w:pStyle w:val="Heading1"/>
      </w:pPr>
      <w:r>
        <w:rPr/>
        <w:t>Violations of this Policy</w:t>
      </w:r>
    </w:p>
    <w:p>
      <w:pPr>
        <w:pStyle w:val="BodyText"/>
        <w:spacing w:before="6"/>
        <w:rPr>
          <w:sz w:val="40"/>
        </w:rPr>
      </w:pPr>
    </w:p>
    <w:p>
      <w:pPr>
        <w:pStyle w:val="BodyText"/>
        <w:spacing w:line="276" w:lineRule="auto"/>
        <w:ind w:left="100"/>
      </w:pPr>
      <w:r>
        <w:rPr/>
        <w:t>Violations of this policy may include repeated requests to change to appropriate clothing that go unaddressed—specifically violations of this policy as it relates to engagement with clients and customers. If an employee violates this policy, a manager will discipline the employee per [Company’s] standard disciplinary actions.</w:t>
      </w:r>
    </w:p>
    <w:p>
      <w:pPr>
        <w:pStyle w:val="BodyText"/>
        <w:spacing w:before="4"/>
        <w:rPr>
          <w:sz w:val="25"/>
        </w:rPr>
      </w:pPr>
    </w:p>
    <w:p>
      <w:pPr>
        <w:pStyle w:val="BodyText"/>
        <w:ind w:left="100"/>
      </w:pPr>
      <w:r>
        <w:rPr/>
        <w:t>In accordance with [Company’s] progressive discipline policy, this may include:</w:t>
      </w:r>
    </w:p>
    <w:p>
      <w:pPr>
        <w:pStyle w:val="BodyText"/>
        <w:spacing w:before="6"/>
        <w:rPr>
          <w:sz w:val="28"/>
        </w:rPr>
      </w:pPr>
    </w:p>
    <w:p>
      <w:pPr>
        <w:pStyle w:val="ListParagraph"/>
        <w:numPr>
          <w:ilvl w:val="0"/>
          <w:numId w:val="1"/>
        </w:numPr>
        <w:tabs>
          <w:tab w:pos="819" w:val="left" w:leader="none"/>
          <w:tab w:pos="820" w:val="left" w:leader="none"/>
        </w:tabs>
        <w:spacing w:line="240" w:lineRule="auto" w:before="1" w:after="0"/>
        <w:ind w:left="820" w:right="0" w:hanging="360"/>
        <w:jc w:val="left"/>
        <w:rPr>
          <w:sz w:val="22"/>
        </w:rPr>
      </w:pPr>
      <w:r>
        <w:rPr>
          <w:spacing w:val="-3"/>
          <w:sz w:val="22"/>
        </w:rPr>
        <w:t>Verbal</w:t>
      </w:r>
      <w:r>
        <w:rPr>
          <w:spacing w:val="-2"/>
          <w:sz w:val="22"/>
        </w:rPr>
        <w:t> </w:t>
      </w:r>
      <w:r>
        <w:rPr>
          <w:sz w:val="22"/>
        </w:rPr>
        <w:t>warning</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z w:val="22"/>
        </w:rPr>
        <w:t>Written</w:t>
      </w:r>
      <w:r>
        <w:rPr>
          <w:spacing w:val="-2"/>
          <w:sz w:val="22"/>
        </w:rPr>
        <w:t> </w:t>
      </w:r>
      <w:r>
        <w:rPr>
          <w:sz w:val="22"/>
        </w:rPr>
        <w:t>warning</w:t>
      </w:r>
    </w:p>
    <w:p>
      <w:pPr>
        <w:pStyle w:val="ListParagraph"/>
        <w:numPr>
          <w:ilvl w:val="0"/>
          <w:numId w:val="1"/>
        </w:numPr>
        <w:tabs>
          <w:tab w:pos="819" w:val="left" w:leader="none"/>
          <w:tab w:pos="820" w:val="left" w:leader="none"/>
        </w:tabs>
        <w:spacing w:line="240" w:lineRule="auto" w:before="38" w:after="0"/>
        <w:ind w:left="820" w:right="0" w:hanging="360"/>
        <w:jc w:val="left"/>
        <w:rPr>
          <w:sz w:val="22"/>
        </w:rPr>
      </w:pPr>
      <w:r>
        <w:rPr>
          <w:sz w:val="22"/>
        </w:rPr>
        <w:t>Suspension</w:t>
      </w:r>
    </w:p>
    <w:p>
      <w:pPr>
        <w:pStyle w:val="ListParagraph"/>
        <w:numPr>
          <w:ilvl w:val="0"/>
          <w:numId w:val="1"/>
        </w:numPr>
        <w:tabs>
          <w:tab w:pos="819" w:val="left" w:leader="none"/>
          <w:tab w:pos="820" w:val="left" w:leader="none"/>
        </w:tabs>
        <w:spacing w:line="240" w:lineRule="auto" w:before="37" w:after="0"/>
        <w:ind w:left="820" w:right="0" w:hanging="360"/>
        <w:jc w:val="left"/>
        <w:rPr>
          <w:sz w:val="22"/>
        </w:rPr>
      </w:pPr>
      <w:r>
        <w:rPr>
          <w:spacing w:val="-4"/>
          <w:sz w:val="22"/>
        </w:rPr>
        <w:t>Termination</w:t>
      </w:r>
    </w:p>
    <w:p>
      <w:pPr>
        <w:pStyle w:val="BodyText"/>
        <w:spacing w:before="7"/>
        <w:rPr>
          <w:sz w:val="28"/>
        </w:rPr>
      </w:pPr>
    </w:p>
    <w:p>
      <w:pPr>
        <w:pStyle w:val="BodyText"/>
        <w:spacing w:line="276" w:lineRule="auto"/>
        <w:ind w:left="100" w:right="189"/>
      </w:pPr>
      <w:r>
        <w:rPr/>
        <w:t>Employees should not consider this list to be exhaustive or to represent a path for discipline. [Company’s] progressive discipline policy will apply.</w:t>
      </w:r>
    </w:p>
    <w:sectPr>
      <w:pgSz w:w="12240" w:h="15840"/>
      <w:pgMar w:top="1360" w:bottom="280" w:left="134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Arial" w:hAnsi="Arial" w:eastAsia="Arial" w:cs="Arial"/>
        <w:spacing w:val="-13"/>
        <w:w w:val="100"/>
        <w:sz w:val="22"/>
        <w:szCs w:val="22"/>
      </w:rPr>
    </w:lvl>
    <w:lvl w:ilvl="1">
      <w:start w:val="0"/>
      <w:numFmt w:val="bullet"/>
      <w:lvlText w:val="•"/>
      <w:lvlJc w:val="left"/>
      <w:pPr>
        <w:ind w:left="1698" w:hanging="360"/>
      </w:pPr>
      <w:rPr>
        <w:rFonts w:hint="default"/>
      </w:rPr>
    </w:lvl>
    <w:lvl w:ilvl="2">
      <w:start w:val="0"/>
      <w:numFmt w:val="bullet"/>
      <w:lvlText w:val="•"/>
      <w:lvlJc w:val="left"/>
      <w:pPr>
        <w:ind w:left="2576" w:hanging="360"/>
      </w:pPr>
      <w:rPr>
        <w:rFonts w:hint="default"/>
      </w:rPr>
    </w:lvl>
    <w:lvl w:ilvl="3">
      <w:start w:val="0"/>
      <w:numFmt w:val="bullet"/>
      <w:lvlText w:val="•"/>
      <w:lvlJc w:val="left"/>
      <w:pPr>
        <w:ind w:left="3454" w:hanging="360"/>
      </w:pPr>
      <w:rPr>
        <w:rFonts w:hint="default"/>
      </w:rPr>
    </w:lvl>
    <w:lvl w:ilvl="4">
      <w:start w:val="0"/>
      <w:numFmt w:val="bullet"/>
      <w:lvlText w:val="•"/>
      <w:lvlJc w:val="left"/>
      <w:pPr>
        <w:ind w:left="4332" w:hanging="360"/>
      </w:pPr>
      <w:rPr>
        <w:rFonts w:hint="default"/>
      </w:rPr>
    </w:lvl>
    <w:lvl w:ilvl="5">
      <w:start w:val="0"/>
      <w:numFmt w:val="bullet"/>
      <w:lvlText w:val="•"/>
      <w:lvlJc w:val="left"/>
      <w:pPr>
        <w:ind w:left="5210" w:hanging="360"/>
      </w:pPr>
      <w:rPr>
        <w:rFonts w:hint="default"/>
      </w:rPr>
    </w:lvl>
    <w:lvl w:ilvl="6">
      <w:start w:val="0"/>
      <w:numFmt w:val="bullet"/>
      <w:lvlText w:val="•"/>
      <w:lvlJc w:val="left"/>
      <w:pPr>
        <w:ind w:left="6088" w:hanging="360"/>
      </w:pPr>
      <w:rPr>
        <w:rFonts w:hint="default"/>
      </w:rPr>
    </w:lvl>
    <w:lvl w:ilvl="7">
      <w:start w:val="0"/>
      <w:numFmt w:val="bullet"/>
      <w:lvlText w:val="•"/>
      <w:lvlJc w:val="left"/>
      <w:pPr>
        <w:ind w:left="6966" w:hanging="360"/>
      </w:pPr>
      <w:rPr>
        <w:rFonts w:hint="default"/>
      </w:rPr>
    </w:lvl>
    <w:lvl w:ilvl="8">
      <w:start w:val="0"/>
      <w:numFmt w:val="bullet"/>
      <w:lvlText w:val="•"/>
      <w:lvlJc w:val="left"/>
      <w:pPr>
        <w:ind w:left="7844"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100"/>
      <w:outlineLvl w:val="1"/>
    </w:pPr>
    <w:rPr>
      <w:rFonts w:ascii="Arial" w:hAnsi="Arial" w:eastAsia="Arial" w:cs="Arial"/>
      <w:sz w:val="32"/>
      <w:szCs w:val="32"/>
    </w:rPr>
  </w:style>
  <w:style w:styleId="ListParagraph" w:type="paragraph">
    <w:name w:val="List Paragraph"/>
    <w:basedOn w:val="Normal"/>
    <w:uiPriority w:val="1"/>
    <w:qFormat/>
    <w:pPr>
      <w:spacing w:before="38"/>
      <w:ind w:left="820" w:hanging="360"/>
    </w:pPr>
    <w:rPr>
      <w:rFonts w:ascii="Arial" w:hAnsi="Arial" w:eastAsia="Arial" w:cs="Arial"/>
    </w:rPr>
  </w:style>
  <w:style w:styleId="TableParagraph" w:type="paragraph">
    <w:name w:val="Table Paragraph"/>
    <w:basedOn w:val="Normal"/>
    <w:uiPriority w:val="1"/>
    <w:qFormat/>
    <w:pPr>
      <w:spacing w:before="95"/>
      <w:ind w:left="8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From Home Dress Code Policy</dc:title>
  <dcterms:created xsi:type="dcterms:W3CDTF">2023-12-12T17:46:29Z</dcterms:created>
  <dcterms:modified xsi:type="dcterms:W3CDTF">2023-12-12T17:46:29Z</dcterms:modified>
</cp:coreProperties>
</file>