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1"/>
        <w:jc w:val="center"/>
        <w:rPr>
          <w:rFonts w:ascii="Roboto" w:cs="Roboto" w:eastAsia="Roboto" w:hAnsi="Roboto"/>
        </w:rPr>
      </w:pPr>
      <w:bookmarkStart w:colFirst="0" w:colLast="0" w:name="_uq0kwl84ex4y" w:id="0"/>
      <w:bookmarkEnd w:id="0"/>
      <w:r w:rsidDel="00000000" w:rsidR="00000000" w:rsidRPr="00000000">
        <w:rPr>
          <w:rFonts w:ascii="Roboto" w:cs="Roboto" w:eastAsia="Roboto" w:hAnsi="Roboto"/>
          <w:sz w:val="48"/>
          <w:szCs w:val="48"/>
          <w:rtl w:val="0"/>
        </w:rPr>
        <w:t xml:space="preserve">Choosing the Right Payroll Provider Chart</w:t>
      </w:r>
      <w:r w:rsidDel="00000000" w:rsidR="00000000" w:rsidRPr="00000000">
        <w:rPr>
          <w:rtl w:val="0"/>
        </w:rPr>
      </w:r>
    </w:p>
    <w:tbl>
      <w:tblPr>
        <w:tblStyle w:val="Table1"/>
        <w:tblW w:w="10787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96.75"/>
        <w:gridCol w:w="2696.75"/>
        <w:gridCol w:w="2696.75"/>
        <w:gridCol w:w="2696.75"/>
        <w:tblGridChange w:id="0">
          <w:tblGrid>
            <w:gridCol w:w="2696.75"/>
            <w:gridCol w:w="2696.75"/>
            <w:gridCol w:w="2696.75"/>
            <w:gridCol w:w="2696.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Payroll Provider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Payroll Provider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Payroll Provider 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Cost + Setup Fees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Account Set-up 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Live Support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Flexible Process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Learning Curve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Direct Deposit + Processing Time (# of days)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Online Onboarding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New Hire Reporting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Multiple Jurisdiction Tax Calculation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Electronic Tax Payments and Filings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Garnishment Compliance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Paycheck Calculation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Benefit Options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Payroll Reminders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Overtime Calculation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Off-cycle Payment Options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Automatic Electronic Paystubs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Payroll Reports (Basic; Customizable)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Billing Type and Frequency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What Other Users Say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jc w:val="left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310.3999999999999" w:top="576" w:left="705.6" w:right="748.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4333875</wp:posOffset>
          </wp:positionH>
          <wp:positionV relativeFrom="paragraph">
            <wp:posOffset>-75865</wp:posOffset>
          </wp:positionV>
          <wp:extent cx="3004757" cy="640608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04757" cy="64060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