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n3c29ykqyq62" w:id="0"/>
      <w:bookmarkEnd w:id="0"/>
      <w:r w:rsidDel="00000000" w:rsidR="00000000" w:rsidRPr="00000000">
        <w:rPr>
          <w:rtl w:val="0"/>
        </w:rPr>
        <w:t xml:space="preserve">Federal Labor Law Compliance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3270"/>
        <w:gridCol w:w="2160"/>
        <w:tblGridChange w:id="0">
          <w:tblGrid>
            <w:gridCol w:w="3975"/>
            <w:gridCol w:w="327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Governs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Employees Before Enforcement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Affordable Care Act (</w:t>
            </w:r>
            <w:hyperlink r:id="rId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ACA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 Discrimination in Employment (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ADEA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Americans with Disabilities Act (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ADA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Comprehensive Omnibus Budget Reconciliation Act (</w:t>
            </w:r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COBRA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 Insurance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20+ if health insurance is provided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Cannabis Protections (</w:t>
            </w:r>
            <w:hyperlink r:id="rId1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STATES Act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Controlled Substances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Consumer Credit Protection Act (</w:t>
            </w:r>
            <w:hyperlink r:id="rId1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CCPA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Wage Garnishments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Electronic Communications Privacy Act (</w:t>
            </w:r>
            <w:hyperlink r:id="rId1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ECPA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Electronic Communications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Polygraph Protection Act (</w:t>
            </w:r>
            <w:hyperlink r:id="rId13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EPPA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privacy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Retirement Income Security Act (</w:t>
            </w:r>
            <w:hyperlink r:id="rId14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ERISA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Financial protections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if retirement or healthcare investments offered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hyperlink r:id="rId15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Equal Pay Act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Fair Credit Reporting Act (</w:t>
            </w:r>
            <w:hyperlink r:id="rId1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FCRA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privacy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Fair Labor Standards Act </w:t>
            </w:r>
            <w:r w:rsidDel="00000000" w:rsidR="00000000" w:rsidRPr="00000000">
              <w:rPr>
                <w:b w:val="1"/>
                <w:rtl w:val="0"/>
              </w:rPr>
              <w:t xml:space="preserve">(</w:t>
            </w:r>
            <w:hyperlink r:id="rId1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FLSA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Family Medical Leave Act (</w:t>
            </w:r>
            <w:hyperlink r:id="rId1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FMLA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 off for family/medical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Federal Income Tax Withholding (</w:t>
            </w:r>
            <w:hyperlink r:id="rId1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FICA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Social Security and Medicare 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hyperlink r:id="rId2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Federal Labor Law Posting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Rights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Data Protection Regulation (</w:t>
            </w:r>
            <w:hyperlink r:id="rId2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GDPR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privacy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Genetic Information Nondiscrimination Act (</w:t>
            </w:r>
            <w:hyperlink r:id="rId2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GINA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Insurance Portability and Accountability Act (</w:t>
            </w:r>
            <w:hyperlink r:id="rId23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HIPAA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privacy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Immigration and Nationality Act (</w:t>
            </w:r>
            <w:hyperlink r:id="rId24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INA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Legal Worker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Mental Health Parity and Addiction Equity Act (</w:t>
            </w:r>
            <w:hyperlink r:id="rId25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MHPAEA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National Labor Relations Act (</w:t>
            </w:r>
            <w:hyperlink r:id="rId2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NLRA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Workers’ rights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Non-compete Agreements (</w:t>
            </w:r>
            <w:hyperlink r:id="rId2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FTC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Worker’s rights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Occupational Safety and Health Act (</w:t>
            </w:r>
            <w:hyperlink r:id="rId2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OSHA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Worker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hyperlink r:id="rId2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Pay Transparency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Pregnancy Discrimination Act (</w:t>
            </w:r>
            <w:hyperlink r:id="rId3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PDA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Providing Urgent Maternal Protections for Nursing Mothers Act (</w:t>
            </w:r>
            <w:hyperlink r:id="rId3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PUMP Act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hyperlink r:id="rId3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Speak Out Act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Workers’ rights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hyperlink r:id="rId33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Title VII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of the Civil Rights Act*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Uniformed Services Employment and Reemployment Rights Act (</w:t>
            </w:r>
            <w:hyperlink r:id="rId34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USERRA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Military job security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hyperlink r:id="rId35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Whistleblower Protection Act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Workers’ rights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Worker Adjustment and Retraining Notification Act (</w:t>
            </w:r>
            <w:hyperlink r:id="rId3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WARN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notifications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100+ 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*These labor laws are enforced by the Equal Employment Opportunity Commission (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EEOC</w:t>
        </w:r>
      </w:hyperlink>
      <w:r w:rsidDel="00000000" w:rsidR="00000000" w:rsidRPr="00000000">
        <w:rPr>
          <w:rtl w:val="0"/>
        </w:rPr>
        <w:t xml:space="preserve">) or the Wage and Hour division of the Department of Labor (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DOL</w:t>
        </w:r>
      </w:hyperlink>
      <w:r w:rsidDel="00000000" w:rsidR="00000000" w:rsidRPr="00000000">
        <w:rPr>
          <w:rtl w:val="0"/>
        </w:rPr>
        <w:t xml:space="preserve">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itsmallbusiness.com/labor-law-posters/" TargetMode="External"/><Relationship Id="rId22" Type="http://schemas.openxmlformats.org/officeDocument/2006/relationships/hyperlink" Target="https://www.eeoc.gov/genetic-information-discrimination" TargetMode="External"/><Relationship Id="rId21" Type="http://schemas.openxmlformats.org/officeDocument/2006/relationships/hyperlink" Target="https://gdpr-info.eu/" TargetMode="External"/><Relationship Id="rId24" Type="http://schemas.openxmlformats.org/officeDocument/2006/relationships/hyperlink" Target="https://www.uscis.gov/laws-and-policy/legislation/immigration-and-nationality-act" TargetMode="External"/><Relationship Id="rId23" Type="http://schemas.openxmlformats.org/officeDocument/2006/relationships/hyperlink" Target="https://www.cdc.gov/phlp/php/resources/health-insurance-portability-and-accountability-act-of-1996-hipaa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l.gov/general/topic/health-plans/cobra" TargetMode="External"/><Relationship Id="rId26" Type="http://schemas.openxmlformats.org/officeDocument/2006/relationships/hyperlink" Target="https://www.nlrb.gov/how-we-work/national-labor-relations-act" TargetMode="External"/><Relationship Id="rId25" Type="http://schemas.openxmlformats.org/officeDocument/2006/relationships/hyperlink" Target="https://www.cms.gov/CCIIO/Programs-and-Initiatives/Other-Insurance-Protections/mhpaea_factsheet" TargetMode="External"/><Relationship Id="rId28" Type="http://schemas.openxmlformats.org/officeDocument/2006/relationships/hyperlink" Target="https://www.osha.gov/" TargetMode="External"/><Relationship Id="rId27" Type="http://schemas.openxmlformats.org/officeDocument/2006/relationships/hyperlink" Target="https://www.ftc.gov/news-events/news/press-releases/2024/04/ftc-announces-rule-banning-noncompet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ealthcare.gov/glossary/affordable-care-act/" TargetMode="External"/><Relationship Id="rId29" Type="http://schemas.openxmlformats.org/officeDocument/2006/relationships/hyperlink" Target="https://www.nlrb.gov/about-nlrb/rights-we-protect/your-rights/your-rights-to-discuss-wages#:~:text=Additionally%2C%20it%20is%20unlawful%20for,permission%20to%20have%20such%20discussions." TargetMode="External"/><Relationship Id="rId7" Type="http://schemas.openxmlformats.org/officeDocument/2006/relationships/hyperlink" Target="https://www.eeoc.gov/statutes/age-discrimination-employment-act-1967" TargetMode="External"/><Relationship Id="rId8" Type="http://schemas.openxmlformats.org/officeDocument/2006/relationships/hyperlink" Target="https://www.ada.gov/" TargetMode="External"/><Relationship Id="rId31" Type="http://schemas.openxmlformats.org/officeDocument/2006/relationships/hyperlink" Target="https://www.dol.gov/agencies/whd/pump-at-work" TargetMode="External"/><Relationship Id="rId30" Type="http://schemas.openxmlformats.org/officeDocument/2006/relationships/hyperlink" Target="https://www.eeoc.gov/statutes/pregnancy-discrimination-act-1978" TargetMode="External"/><Relationship Id="rId11" Type="http://schemas.openxmlformats.org/officeDocument/2006/relationships/hyperlink" Target="https://www.dol.gov/agencies/whd/fact-sheets/30-cppa" TargetMode="External"/><Relationship Id="rId33" Type="http://schemas.openxmlformats.org/officeDocument/2006/relationships/hyperlink" Target="https://www.eeoc.gov/statutes/title-vii-civil-rights-act-1964" TargetMode="External"/><Relationship Id="rId10" Type="http://schemas.openxmlformats.org/officeDocument/2006/relationships/hyperlink" Target="https://www.congress.gov/bill/115th-congress/senate-bill/3032" TargetMode="External"/><Relationship Id="rId32" Type="http://schemas.openxmlformats.org/officeDocument/2006/relationships/hyperlink" Target="https://www.congress.gov/bill/117th-congress/senate-bill/4524/text" TargetMode="External"/><Relationship Id="rId13" Type="http://schemas.openxmlformats.org/officeDocument/2006/relationships/hyperlink" Target="https://www.dol.gov/sites/dolgov/files/WHD/legacy/files/eppac.pdf" TargetMode="External"/><Relationship Id="rId35" Type="http://schemas.openxmlformats.org/officeDocument/2006/relationships/hyperlink" Target="https://www.whistleblowers.gov/complaint_page" TargetMode="External"/><Relationship Id="rId12" Type="http://schemas.openxmlformats.org/officeDocument/2006/relationships/hyperlink" Target="https://bja.ojp.gov/program/it/privacy-civil-liberties/authorities/statutes/1285" TargetMode="External"/><Relationship Id="rId34" Type="http://schemas.openxmlformats.org/officeDocument/2006/relationships/hyperlink" Target="https://www.esgr.mil/USERRA/What-is-USERRA" TargetMode="External"/><Relationship Id="rId15" Type="http://schemas.openxmlformats.org/officeDocument/2006/relationships/hyperlink" Target="https://www.eeoc.gov/laws/guidance/facts-about-equal-pay-and-compensation-discrimination" TargetMode="External"/><Relationship Id="rId37" Type="http://schemas.openxmlformats.org/officeDocument/2006/relationships/hyperlink" Target="https://www.eeoc.gov/employers/index.cfm" TargetMode="External"/><Relationship Id="rId14" Type="http://schemas.openxmlformats.org/officeDocument/2006/relationships/hyperlink" Target="https://www.dol.gov/general/topic/retirement/erisa#:~:text=The%20Employee%20Retirement%20Income%20Security,for%20individuals%20in%20these%20plans." TargetMode="External"/><Relationship Id="rId36" Type="http://schemas.openxmlformats.org/officeDocument/2006/relationships/hyperlink" Target="https://www.dol.gov/agencies/eta/layoffs/warn" TargetMode="External"/><Relationship Id="rId17" Type="http://schemas.openxmlformats.org/officeDocument/2006/relationships/hyperlink" Target="https://www.dol.gov/agencies/whd/flsa" TargetMode="External"/><Relationship Id="rId16" Type="http://schemas.openxmlformats.org/officeDocument/2006/relationships/hyperlink" Target="https://www.ftc.gov/system/files/documents/statutes/fair-credit-reporting-act/545a_fair-credit-reporting-act-0918.pdf" TargetMode="External"/><Relationship Id="rId38" Type="http://schemas.openxmlformats.org/officeDocument/2006/relationships/hyperlink" Target="https://www.dol.gov/whd/" TargetMode="External"/><Relationship Id="rId19" Type="http://schemas.openxmlformats.org/officeDocument/2006/relationships/hyperlink" Target="https://www.ssa.gov/thirdparty/materials/pdfs/educators/What-is-FICA-Infographic-EN-05-10297.pdf" TargetMode="External"/><Relationship Id="rId18" Type="http://schemas.openxmlformats.org/officeDocument/2006/relationships/hyperlink" Target="https://www.dol.gov/whd/fm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