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1176" w:right="1160" w:firstLine="0"/>
        <w:jc w:val="center"/>
        <w:rPr>
          <w:sz w:val="48"/>
        </w:rPr>
      </w:pPr>
      <w:r>
        <w:rPr>
          <w:sz w:val="48"/>
        </w:rPr>
        <w:t>How to Do Payroll in Washington, D.C.</w:t>
      </w:r>
    </w:p>
    <w:p>
      <w:pPr>
        <w:pStyle w:val="BodyText"/>
        <w:spacing w:before="202"/>
        <w:ind w:left="1176" w:right="1160"/>
        <w:jc w:val="center"/>
      </w:pPr>
      <w:r>
        <w:rPr/>
        <w:t>Use this downloadable checklist to help you stay on track!</w:t>
      </w: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450" w:hRule="atLeast"/>
        </w:trPr>
        <w:tc>
          <w:tcPr>
            <w:tcW w:w="1380" w:type="dxa"/>
          </w:tcPr>
          <w:p>
            <w:pPr>
              <w:pStyle w:val="TableParagraph"/>
              <w:spacing w:before="89"/>
              <w:ind w:left="11"/>
              <w:jc w:val="center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8980" w:type="dxa"/>
          </w:tcPr>
          <w:p>
            <w:pPr>
              <w:pStyle w:val="TableParagraph"/>
              <w:spacing w:before="100"/>
              <w:ind w:left="4158" w:right="41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TASK</w:t>
            </w:r>
          </w:p>
        </w:tc>
      </w:tr>
      <w:tr>
        <w:trPr>
          <w:trHeight w:val="304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9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1: Set up your business as an employer.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90" w:right="258"/>
              <w:rPr>
                <w:sz w:val="22"/>
              </w:rPr>
            </w:pPr>
            <w:r>
              <w:rPr>
                <w:spacing w:val="-13"/>
                <w:sz w:val="22"/>
              </w:rPr>
              <w:t>To </w:t>
            </w:r>
            <w:r>
              <w:rPr>
                <w:sz w:val="22"/>
              </w:rPr>
              <w:t>register your business for withholding and unemployment taxes in Washington, D.C., you must have a </w:t>
            </w:r>
            <w:hyperlink r:id="rId6">
              <w:r>
                <w:rPr>
                  <w:color w:val="1154CC"/>
                  <w:spacing w:val="-135"/>
                  <w:sz w:val="22"/>
                  <w:u w:val="thick" w:color="1154CC"/>
                </w:rPr>
                <w:t>F</w:t>
              </w:r>
              <w:r>
                <w:rPr>
                  <w:color w:val="1154CC"/>
                  <w:spacing w:val="71"/>
                  <w:sz w:val="22"/>
                </w:rPr>
                <w:t> </w:t>
              </w:r>
              <w:r>
                <w:rPr>
                  <w:color w:val="1154CC"/>
                  <w:sz w:val="22"/>
                  <w:u w:val="thick" w:color="1154CC"/>
                </w:rPr>
                <w:t>ederal Employee Identification Number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(EIN). Although it’s not required, we also encourage you to enroll in the </w:t>
            </w:r>
            <w:hyperlink r:id="rId7">
              <w:r>
                <w:rPr>
                  <w:color w:val="1154CC"/>
                  <w:spacing w:val="-146"/>
                  <w:sz w:val="22"/>
                  <w:u w:val="thick" w:color="1154CC"/>
                </w:rPr>
                <w:t>E</w:t>
              </w:r>
              <w:r>
                <w:rPr>
                  <w:color w:val="1154CC"/>
                  <w:spacing w:val="81"/>
                  <w:sz w:val="22"/>
                </w:rPr>
                <w:t> </w:t>
              </w:r>
              <w:r>
                <w:rPr>
                  <w:color w:val="1154CC"/>
                  <w:sz w:val="22"/>
                  <w:u w:val="thick" w:color="1154CC"/>
                </w:rPr>
                <w:t>lectronic Federal </w:t>
              </w:r>
              <w:r>
                <w:rPr>
                  <w:color w:val="1154CC"/>
                  <w:spacing w:val="-9"/>
                  <w:sz w:val="22"/>
                  <w:u w:val="thick" w:color="1154CC"/>
                </w:rPr>
                <w:t>Tax </w:t>
              </w:r>
              <w:r>
                <w:rPr>
                  <w:color w:val="1154CC"/>
                  <w:sz w:val="22"/>
                  <w:u w:val="thick" w:color="1154CC"/>
                </w:rPr>
                <w:t>Payment System</w:t>
              </w:r>
            </w:hyperlink>
            <w:r>
              <w:rPr>
                <w:color w:val="1154CC"/>
                <w:sz w:val="22"/>
              </w:rPr>
              <w:t> </w:t>
            </w:r>
            <w:r>
              <w:rPr>
                <w:sz w:val="22"/>
              </w:rPr>
              <w:t>(EFTPS), making it easy to pay your federal taxes online or over the phone.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Applied for a Federal Employer Identification Number</w:t>
            </w:r>
            <w:r>
              <w:rPr>
                <w:spacing w:val="-1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(EIN)</w:t>
            </w:r>
          </w:p>
          <w:p>
            <w:pPr>
              <w:pStyle w:val="TableParagraph"/>
              <w:spacing w:before="70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Enrolled for the Electronic Federal </w:t>
            </w:r>
            <w:r>
              <w:rPr>
                <w:spacing w:val="-9"/>
                <w:position w:val="2"/>
                <w:sz w:val="22"/>
              </w:rPr>
              <w:t>Tax </w:t>
            </w:r>
            <w:r>
              <w:rPr>
                <w:position w:val="2"/>
                <w:sz w:val="22"/>
              </w:rPr>
              <w:t>Payment System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(EFTPS)</w:t>
            </w:r>
          </w:p>
        </w:tc>
      </w:tr>
      <w:tr>
        <w:trPr>
          <w:trHeight w:val="232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4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2: Register with Washington, D.C. for tax and unemployment.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90" w:right="116"/>
              <w:rPr>
                <w:sz w:val="22"/>
              </w:rPr>
            </w:pPr>
            <w:r>
              <w:rPr>
                <w:sz w:val="22"/>
              </w:rPr>
              <w:t>New businesses with employees in the District of Columbia must complete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9">
              <w:r>
                <w:rPr>
                  <w:color w:val="1154CC"/>
                  <w:sz w:val="22"/>
                  <w:u w:val="thick" w:color="1154CC"/>
                </w:rPr>
                <w:t>Form FR-500</w:t>
              </w:r>
            </w:hyperlink>
            <w:r>
              <w:rPr>
                <w:sz w:val="22"/>
              </w:rPr>
              <w:t>, the Combined Business </w:t>
            </w:r>
            <w:r>
              <w:rPr>
                <w:spacing w:val="-9"/>
                <w:sz w:val="22"/>
              </w:rPr>
              <w:t>Tax </w:t>
            </w:r>
            <w:r>
              <w:rPr>
                <w:sz w:val="22"/>
              </w:rPr>
              <w:t>Registration Application. Once registered with the D.C. Office of </w:t>
            </w:r>
            <w:r>
              <w:rPr>
                <w:spacing w:val="-9"/>
                <w:sz w:val="22"/>
              </w:rPr>
              <w:t>Tax </w:t>
            </w:r>
            <w:r>
              <w:rPr>
                <w:sz w:val="22"/>
              </w:rPr>
              <w:t>and Revenue (</w:t>
            </w:r>
            <w:hyperlink r:id="rId10">
              <w:r>
                <w:rPr>
                  <w:color w:val="1154CC"/>
                  <w:sz w:val="22"/>
                  <w:u w:val="thick" w:color="1154CC"/>
                </w:rPr>
                <w:t>OTR</w:t>
              </w:r>
            </w:hyperlink>
            <w:r>
              <w:rPr>
                <w:sz w:val="22"/>
              </w:rPr>
              <w:t>), you will immediately be issued numbers for both your state tax and unemployment tax.</w:t>
            </w:r>
          </w:p>
        </w:tc>
      </w:tr>
      <w:tr>
        <w:trPr>
          <w:trHeight w:val="177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5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3: Register for an employment services number.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90"/>
              <w:rPr>
                <w:sz w:val="22"/>
              </w:rPr>
            </w:pPr>
            <w:r>
              <w:rPr>
                <w:sz w:val="22"/>
              </w:rPr>
              <w:t>Employers who pay wages in D.C. must register for an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11">
              <w:r>
                <w:rPr>
                  <w:color w:val="1154CC"/>
                  <w:sz w:val="22"/>
                  <w:u w:val="thick" w:color="1154CC"/>
                </w:rPr>
                <w:t>employer account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with the Department of Employment Services Self-Service Portal (ESSP).</w:t>
            </w:r>
          </w:p>
        </w:tc>
      </w:tr>
      <w:tr>
        <w:trPr>
          <w:trHeight w:val="184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3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4: Register your payroll provider.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90" w:right="116"/>
              <w:rPr>
                <w:sz w:val="22"/>
              </w:rPr>
            </w:pPr>
            <w:r>
              <w:rPr>
                <w:sz w:val="22"/>
              </w:rPr>
              <w:t>If your business uses a </w:t>
            </w:r>
            <w:hyperlink r:id="rId12">
              <w:r>
                <w:rPr>
                  <w:color w:val="1154CC"/>
                  <w:sz w:val="22"/>
                  <w:u w:val="thick" w:color="1154CC"/>
                </w:rPr>
                <w:t>third-party payroll provider</w:t>
              </w:r>
            </w:hyperlink>
            <w:r>
              <w:rPr>
                <w:sz w:val="22"/>
              </w:rPr>
              <w:t>, you will be required to assign your agent as a third-party administrator and grant power of attorney (POA). This step can be done through the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11">
              <w:r>
                <w:rPr>
                  <w:color w:val="1154CC"/>
                  <w:sz w:val="22"/>
                  <w:u w:val="thick" w:color="1154CC"/>
                </w:rPr>
                <w:t>ESSP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after you register for your Employment Services number.</w:t>
            </w:r>
          </w:p>
        </w:tc>
      </w:tr>
    </w:tbl>
    <w:p>
      <w:pPr>
        <w:spacing w:after="0" w:line="276" w:lineRule="auto"/>
        <w:rPr>
          <w:sz w:val="22"/>
        </w:rPr>
        <w:sectPr>
          <w:footerReference w:type="default" r:id="rId5"/>
          <w:type w:val="continuous"/>
          <w:pgSz w:w="12240" w:h="15840"/>
          <w:pgMar w:footer="687" w:top="920" w:bottom="880" w:left="780" w:right="84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297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1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5: Collect employee payroll forms.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90"/>
              <w:rPr>
                <w:sz w:val="22"/>
              </w:rPr>
            </w:pPr>
            <w:r>
              <w:rPr>
                <w:sz w:val="22"/>
              </w:rPr>
              <w:t>The best time to collect payroll forms is during your new hire orientation. Required payroll forms for Washington, D.C. employees will include:</w:t>
            </w:r>
          </w:p>
          <w:p>
            <w:pPr>
              <w:pStyle w:val="TableParagraph"/>
              <w:spacing w:before="31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Federal Form</w:t>
            </w:r>
            <w:r>
              <w:rPr>
                <w:color w:val="1154CC"/>
                <w:spacing w:val="-3"/>
                <w:position w:val="2"/>
                <w:sz w:val="22"/>
                <w:u w:val="thick" w:color="1154CC"/>
              </w:rPr>
              <w:t> </w:t>
            </w:r>
            <w:hyperlink r:id="rId13">
              <w:r>
                <w:rPr>
                  <w:color w:val="1154CC"/>
                  <w:position w:val="2"/>
                  <w:sz w:val="22"/>
                  <w:u w:val="thick" w:color="1154CC"/>
                </w:rPr>
                <w:t>W-4</w:t>
              </w:r>
            </w:hyperlink>
          </w:p>
          <w:p>
            <w:pPr>
              <w:pStyle w:val="TableParagraph"/>
              <w:spacing w:before="70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Washington, D.C. Form</w:t>
            </w:r>
            <w:r>
              <w:rPr>
                <w:spacing w:val="-4"/>
                <w:position w:val="2"/>
                <w:sz w:val="22"/>
              </w:rPr>
              <w:t> </w:t>
            </w:r>
            <w:hyperlink r:id="rId14">
              <w:r>
                <w:rPr>
                  <w:color w:val="1154CC"/>
                  <w:position w:val="2"/>
                  <w:sz w:val="22"/>
                  <w:u w:val="thick" w:color="1154CC"/>
                </w:rPr>
                <w:t>D-4</w:t>
              </w:r>
            </w:hyperlink>
          </w:p>
          <w:p>
            <w:pPr>
              <w:pStyle w:val="TableParagraph"/>
              <w:spacing w:before="70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18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5">
              <w:r>
                <w:rPr>
                  <w:color w:val="1154CC"/>
                  <w:position w:val="2"/>
                  <w:sz w:val="22"/>
                  <w:u w:val="thick" w:color="1154CC"/>
                </w:rPr>
                <w:t>I-9</w:t>
              </w:r>
            </w:hyperlink>
          </w:p>
          <w:p>
            <w:pPr>
              <w:pStyle w:val="TableParagraph"/>
              <w:spacing w:before="71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18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6">
              <w:r>
                <w:rPr>
                  <w:color w:val="1154CC"/>
                  <w:position w:val="2"/>
                  <w:sz w:val="22"/>
                  <w:u w:val="thick" w:color="1154CC"/>
                </w:rPr>
                <w:t>Direct deposit authorization</w:t>
              </w:r>
              <w:r>
                <w:rPr>
                  <w:color w:val="1154CC"/>
                  <w:spacing w:val="-4"/>
                  <w:position w:val="2"/>
                  <w:sz w:val="22"/>
                  <w:u w:val="thick" w:color="1154CC"/>
                </w:rPr>
                <w:t> </w:t>
              </w:r>
              <w:r>
                <w:rPr>
                  <w:color w:val="1154CC"/>
                  <w:position w:val="2"/>
                  <w:sz w:val="22"/>
                  <w:u w:val="thick" w:color="1154CC"/>
                </w:rPr>
                <w:t>form</w:t>
              </w:r>
            </w:hyperlink>
          </w:p>
        </w:tc>
      </w:tr>
      <w:tr>
        <w:trPr>
          <w:trHeight w:val="306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1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6: Collect, review, and approve time sheets.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You’ll need to collect timesheets for all hourly employees and </w:t>
            </w:r>
            <w:hyperlink r:id="rId17">
              <w:r>
                <w:rPr>
                  <w:color w:val="1154CC"/>
                  <w:sz w:val="22"/>
                  <w:u w:val="thick" w:color="1154CC"/>
                </w:rPr>
                <w:t>non-exempt salaried</w:t>
              </w:r>
            </w:hyperlink>
          </w:p>
          <w:p>
            <w:pPr>
              <w:pStyle w:val="TableParagraph"/>
              <w:spacing w:line="276" w:lineRule="auto" w:before="38"/>
              <w:ind w:left="90" w:right="184" w:hanging="6"/>
              <w:rPr>
                <w:sz w:val="22"/>
              </w:rPr>
            </w:pPr>
            <w:r>
              <w:rPr>
                <w:rFonts w:ascii="Times New Roman" w:hAnsi="Times New Roman"/>
                <w:color w:val="1154CC"/>
                <w:sz w:val="22"/>
                <w:u w:val="thick" w:color="1154CC"/>
              </w:rPr>
              <w:t> </w:t>
            </w:r>
            <w:hyperlink r:id="rId17">
              <w:r>
                <w:rPr>
                  <w:color w:val="1154CC"/>
                  <w:sz w:val="22"/>
                  <w:u w:val="thick" w:color="1154CC"/>
                </w:rPr>
                <w:t>workers</w:t>
              </w:r>
            </w:hyperlink>
            <w:r>
              <w:rPr>
                <w:sz w:val="22"/>
              </w:rPr>
              <w:t>. </w:t>
            </w:r>
            <w:r>
              <w:rPr>
                <w:spacing w:val="-13"/>
                <w:sz w:val="22"/>
              </w:rPr>
              <w:t>To </w:t>
            </w:r>
            <w:r>
              <w:rPr>
                <w:sz w:val="22"/>
              </w:rPr>
              <w:t>do this, you have three options to use (check off which option you’re electing to use for tracking purposes):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A </w:t>
            </w:r>
            <w:hyperlink r:id="rId18">
              <w:r>
                <w:rPr>
                  <w:color w:val="1154CC"/>
                  <w:position w:val="2"/>
                  <w:sz w:val="22"/>
                  <w:u w:val="thick" w:color="1154CC"/>
                </w:rPr>
                <w:t>paper</w:t>
              </w:r>
              <w:r>
                <w:rPr>
                  <w:color w:val="1154CC"/>
                  <w:spacing w:val="-3"/>
                  <w:position w:val="2"/>
                  <w:sz w:val="22"/>
                  <w:u w:val="thick" w:color="1154CC"/>
                </w:rPr>
                <w:t> </w:t>
              </w:r>
              <w:r>
                <w:rPr>
                  <w:color w:val="1154CC"/>
                  <w:position w:val="2"/>
                  <w:sz w:val="22"/>
                  <w:u w:val="thick" w:color="1154CC"/>
                </w:rPr>
                <w:t>timesheet</w:t>
              </w:r>
            </w:hyperlink>
          </w:p>
          <w:p>
            <w:pPr>
              <w:pStyle w:val="TableParagraph"/>
              <w:spacing w:before="71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Free or low-cost</w:t>
            </w:r>
            <w:r>
              <w:rPr>
                <w:color w:val="1154CC"/>
                <w:position w:val="2"/>
                <w:sz w:val="22"/>
                <w:u w:val="thick" w:color="1154CC"/>
              </w:rPr>
              <w:t> </w:t>
            </w:r>
            <w:hyperlink r:id="rId19">
              <w:r>
                <w:rPr>
                  <w:color w:val="1154CC"/>
                  <w:position w:val="2"/>
                  <w:sz w:val="22"/>
                  <w:u w:val="thick" w:color="1154CC"/>
                </w:rPr>
                <w:t>time and attendance</w:t>
              </w:r>
              <w:r>
                <w:rPr>
                  <w:color w:val="1154CC"/>
                  <w:spacing w:val="-9"/>
                  <w:position w:val="2"/>
                  <w:sz w:val="22"/>
                  <w:u w:val="thick" w:color="1154CC"/>
                </w:rPr>
                <w:t> </w:t>
              </w:r>
              <w:r>
                <w:rPr>
                  <w:color w:val="1154CC"/>
                  <w:position w:val="2"/>
                  <w:sz w:val="22"/>
                  <w:u w:val="thick" w:color="1154CC"/>
                </w:rPr>
                <w:t>software</w:t>
              </w:r>
            </w:hyperlink>
          </w:p>
          <w:p>
            <w:pPr>
              <w:pStyle w:val="TableParagraph"/>
              <w:spacing w:before="70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A payroll service that has a time and attendance</w:t>
            </w:r>
            <w:r>
              <w:rPr>
                <w:spacing w:val="-1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system</w:t>
            </w:r>
          </w:p>
        </w:tc>
      </w:tr>
      <w:tr>
        <w:trPr>
          <w:trHeight w:val="333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1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7: Process payroll and send payment to your employees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In D.C., you must pay your employees at least twice a month on a regular schedule.</w:t>
            </w: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Calculate Gross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Pay</w:t>
            </w:r>
          </w:p>
          <w:p>
            <w:pPr>
              <w:pStyle w:val="TableParagraph"/>
              <w:spacing w:before="70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Calculate FICA, </w:t>
            </w:r>
            <w:r>
              <w:rPr>
                <w:spacing w:val="-4"/>
                <w:position w:val="2"/>
                <w:sz w:val="22"/>
              </w:rPr>
              <w:t>FUTA, </w:t>
            </w:r>
            <w:r>
              <w:rPr>
                <w:position w:val="2"/>
                <w:sz w:val="22"/>
              </w:rPr>
              <w:t>&amp; Income </w:t>
            </w:r>
            <w:r>
              <w:rPr>
                <w:spacing w:val="-6"/>
                <w:position w:val="2"/>
                <w:sz w:val="22"/>
              </w:rPr>
              <w:t>Taxes </w:t>
            </w:r>
            <w:r>
              <w:rPr>
                <w:position w:val="2"/>
                <w:sz w:val="22"/>
              </w:rPr>
              <w:t>to</w:t>
            </w:r>
            <w:r>
              <w:rPr>
                <w:spacing w:val="-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withhold/pay</w:t>
            </w:r>
          </w:p>
          <w:p>
            <w:pPr>
              <w:pStyle w:val="TableParagraph"/>
              <w:spacing w:line="307" w:lineRule="auto" w:before="70"/>
              <w:ind w:left="484" w:right="1123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Perform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any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other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payroll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calculations,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i.e.,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expense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reimbursement </w:t>
            </w:r>
            <w:r>
              <w:rPr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2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</w:r>
            <w:r>
              <w:rPr>
                <w:rFonts w:ascii="Times New Roman"/>
                <w:position w:val="2"/>
                <w:sz w:val="22"/>
              </w:rPr>
              <w:t> </w:t>
            </w:r>
            <w:r>
              <w:rPr>
                <w:rFonts w:ascii="Times New Roman"/>
                <w:spacing w:val="1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Calculate net payroll (</w:t>
            </w:r>
            <w:hyperlink r:id="rId20">
              <w:r>
                <w:rPr>
                  <w:color w:val="1154CC"/>
                  <w:position w:val="2"/>
                  <w:sz w:val="22"/>
                  <w:u w:val="thick" w:color="1154CC"/>
                </w:rPr>
                <w:t>by hand</w:t>
              </w:r>
              <w:r>
                <w:rPr>
                  <w:color w:val="1154CC"/>
                  <w:position w:val="2"/>
                  <w:sz w:val="22"/>
                </w:rPr>
                <w:t> </w:t>
              </w:r>
            </w:hyperlink>
            <w:r>
              <w:rPr>
                <w:position w:val="2"/>
                <w:sz w:val="22"/>
              </w:rPr>
              <w:t>or via</w:t>
            </w:r>
            <w:r>
              <w:rPr>
                <w:spacing w:val="-16"/>
                <w:position w:val="2"/>
                <w:sz w:val="22"/>
              </w:rPr>
              <w:t> </w:t>
            </w:r>
            <w:hyperlink r:id="rId21">
              <w:r>
                <w:rPr>
                  <w:color w:val="1154CC"/>
                  <w:position w:val="2"/>
                  <w:sz w:val="22"/>
                  <w:u w:val="thick" w:color="1154CC"/>
                </w:rPr>
                <w:t>Excel</w:t>
              </w:r>
            </w:hyperlink>
            <w:r>
              <w:rPr>
                <w:position w:val="2"/>
                <w:sz w:val="22"/>
              </w:rPr>
              <w:t>)</w:t>
            </w:r>
          </w:p>
          <w:p>
            <w:pPr>
              <w:pStyle w:val="TableParagraph"/>
              <w:spacing w:line="252" w:lineRule="exact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Decide to pay using check, paycard, direct</w:t>
            </w:r>
            <w:r>
              <w:rPr>
                <w:spacing w:val="-1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deposit</w:t>
            </w:r>
          </w:p>
        </w:tc>
      </w:tr>
      <w:tr>
        <w:trPr>
          <w:trHeight w:val="313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95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8: File federal and DC payroll taxes.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90"/>
              <w:rPr>
                <w:sz w:val="22"/>
              </w:rPr>
            </w:pPr>
            <w:r>
              <w:rPr>
                <w:sz w:val="22"/>
              </w:rPr>
              <w:t>Your federal tax filing will depend on if your business is a sole proprietorship or LLC</w:t>
            </w:r>
          </w:p>
          <w:p>
            <w:pPr>
              <w:pStyle w:val="TableParagraph"/>
              <w:spacing w:line="276" w:lineRule="auto" w:before="38"/>
              <w:ind w:left="90" w:right="258"/>
              <w:rPr>
                <w:sz w:val="22"/>
              </w:rPr>
            </w:pPr>
            <w:r>
              <w:rPr>
                <w:spacing w:val="-1"/>
                <w:sz w:val="22"/>
              </w:rPr>
              <w:t>(</w:t>
            </w:r>
            <w:hyperlink r:id="rId22">
              <w:r>
                <w:rPr>
                  <w:color w:val="1154CC"/>
                  <w:spacing w:val="-146"/>
                  <w:sz w:val="22"/>
                  <w:u w:val="thick" w:color="1154CC"/>
                </w:rPr>
                <w:t>S</w:t>
              </w:r>
              <w:r>
                <w:rPr>
                  <w:rFonts w:ascii="Times New Roman"/>
                  <w:color w:val="1154CC"/>
                  <w:sz w:val="22"/>
                  <w:u w:val="thick" w:color="1154CC"/>
                </w:rPr>
                <w:t> </w:t>
              </w:r>
              <w:r>
                <w:rPr>
                  <w:rFonts w:ascii="Times New Roman"/>
                  <w:color w:val="1154CC"/>
                  <w:sz w:val="22"/>
                </w:rPr>
                <w:t>  </w:t>
              </w:r>
              <w:r>
                <w:rPr>
                  <w:color w:val="1154CC"/>
                  <w:spacing w:val="-1"/>
                  <w:sz w:val="22"/>
                  <w:u w:val="thick" w:color="1154CC"/>
                </w:rPr>
                <w:t>chedul</w:t>
              </w:r>
              <w:r>
                <w:rPr>
                  <w:color w:val="1154CC"/>
                  <w:sz w:val="22"/>
                  <w:u w:val="thick" w:color="1154CC"/>
                </w:rPr>
                <w:t>e</w:t>
              </w:r>
              <w:r>
                <w:rPr>
                  <w:color w:val="1154CC"/>
                  <w:spacing w:val="-1"/>
                  <w:sz w:val="22"/>
                  <w:u w:val="thick" w:color="1154CC"/>
                </w:rPr>
                <w:t> C</w:t>
              </w:r>
            </w:hyperlink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o</w:t>
            </w:r>
            <w:r>
              <w:rPr>
                <w:sz w:val="22"/>
              </w:rPr>
              <w:t>r</w:t>
            </w:r>
            <w:r>
              <w:rPr>
                <w:spacing w:val="-1"/>
                <w:sz w:val="22"/>
              </w:rPr>
              <w:t> corporatio</w:t>
            </w:r>
            <w:r>
              <w:rPr>
                <w:sz w:val="22"/>
              </w:rPr>
              <w:t>n</w:t>
            </w:r>
            <w:r>
              <w:rPr>
                <w:spacing w:val="-1"/>
                <w:sz w:val="22"/>
              </w:rPr>
              <w:t> (For</w:t>
            </w:r>
            <w:r>
              <w:rPr>
                <w:sz w:val="22"/>
              </w:rPr>
              <w:t>m </w:t>
            </w:r>
            <w:hyperlink r:id="rId23">
              <w:r>
                <w:rPr>
                  <w:color w:val="1154CC"/>
                  <w:spacing w:val="-17"/>
                  <w:sz w:val="22"/>
                  <w:u w:val="thick" w:color="1154CC"/>
                </w:rPr>
                <w:t>1</w:t>
              </w:r>
              <w:r>
                <w:rPr>
                  <w:color w:val="1154CC"/>
                  <w:spacing w:val="-1"/>
                  <w:sz w:val="22"/>
                  <w:u w:val="thick" w:color="1154CC"/>
                </w:rPr>
                <w:t>12</w:t>
              </w:r>
              <w:r>
                <w:rPr>
                  <w:color w:val="1154CC"/>
                  <w:sz w:val="22"/>
                  <w:u w:val="thick" w:color="1154CC"/>
                </w:rPr>
                <w:t>0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pacing w:val="-1"/>
                <w:sz w:val="22"/>
              </w:rPr>
              <w:t>o</w:t>
            </w:r>
            <w:r>
              <w:rPr>
                <w:sz w:val="22"/>
              </w:rPr>
              <w:t>r </w:t>
            </w:r>
            <w:r>
              <w:rPr>
                <w:rFonts w:ascii="Times New Roman"/>
                <w:color w:val="1154CC"/>
                <w:spacing w:val="-5"/>
                <w:sz w:val="22"/>
                <w:u w:val="thick" w:color="1154CC"/>
              </w:rPr>
              <w:t> </w:t>
            </w:r>
            <w:hyperlink r:id="rId24">
              <w:r>
                <w:rPr>
                  <w:color w:val="1154CC"/>
                  <w:spacing w:val="-17"/>
                  <w:sz w:val="22"/>
                  <w:u w:val="thick" w:color="1154CC"/>
                </w:rPr>
                <w:t>1</w:t>
              </w:r>
              <w:r>
                <w:rPr>
                  <w:color w:val="1154CC"/>
                  <w:spacing w:val="-1"/>
                  <w:sz w:val="22"/>
                  <w:u w:val="thick" w:color="1154CC"/>
                </w:rPr>
                <w:t>120-S</w:t>
              </w:r>
            </w:hyperlink>
            <w:r>
              <w:rPr>
                <w:spacing w:val="-1"/>
                <w:sz w:val="22"/>
              </w:rPr>
              <w:t>)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Additionall</w:t>
            </w:r>
            <w:r>
              <w:rPr>
                <w:spacing w:val="-17"/>
                <w:sz w:val="22"/>
              </w:rPr>
              <w:t>y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employer</w:t>
            </w:r>
            <w:r>
              <w:rPr>
                <w:sz w:val="22"/>
              </w:rPr>
              <w:t>s</w:t>
            </w:r>
            <w:r>
              <w:rPr>
                <w:spacing w:val="-1"/>
                <w:sz w:val="22"/>
              </w:rPr>
              <w:t> mus</w:t>
            </w:r>
            <w:r>
              <w:rPr>
                <w:sz w:val="22"/>
              </w:rPr>
              <w:t>t</w:t>
            </w:r>
            <w:r>
              <w:rPr>
                <w:spacing w:val="-1"/>
                <w:sz w:val="22"/>
              </w:rPr>
              <w:t> fil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a</w:t>
            </w:r>
            <w:r>
              <w:rPr>
                <w:sz w:val="22"/>
              </w:rPr>
              <w:t>n Employer Withholding </w:t>
            </w:r>
            <w:r>
              <w:rPr>
                <w:spacing w:val="-9"/>
                <w:sz w:val="22"/>
              </w:rPr>
              <w:t>Tax </w:t>
            </w:r>
            <w:r>
              <w:rPr>
                <w:sz w:val="22"/>
              </w:rPr>
              <w:t>Return, either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25">
              <w:r>
                <w:rPr>
                  <w:color w:val="1154CC"/>
                  <w:sz w:val="22"/>
                  <w:u w:val="thick" w:color="1154CC"/>
                </w:rPr>
                <w:t>FR-900A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(annual filing) or </w:t>
            </w:r>
            <w:hyperlink r:id="rId26">
              <w:r>
                <w:rPr>
                  <w:color w:val="1154CC"/>
                  <w:spacing w:val="-134"/>
                  <w:sz w:val="22"/>
                  <w:u w:val="thick" w:color="1154CC"/>
                </w:rPr>
                <w:t>F</w:t>
              </w:r>
              <w:r>
                <w:rPr>
                  <w:color w:val="1154CC"/>
                  <w:spacing w:val="68"/>
                  <w:sz w:val="22"/>
                </w:rPr>
                <w:t> </w:t>
              </w:r>
              <w:r>
                <w:rPr>
                  <w:color w:val="1154CC"/>
                  <w:sz w:val="22"/>
                  <w:u w:val="thick" w:color="1154CC"/>
                </w:rPr>
                <w:t>R-900Q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(monthly and quarterly filing) with the District of Columbia.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Pay federal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taxes</w:t>
            </w:r>
          </w:p>
          <w:p>
            <w:pPr>
              <w:pStyle w:val="TableParagraph"/>
              <w:spacing w:before="70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Pay Washington, D.C.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taxes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687" w:top="560" w:bottom="880" w:left="780" w:right="84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164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1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9: Document and store your payroll records.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90"/>
              <w:rPr>
                <w:sz w:val="22"/>
              </w:rPr>
            </w:pPr>
            <w:r>
              <w:rPr>
                <w:sz w:val="22"/>
              </w:rPr>
              <w:t>As with any business record, you want to make sure you have a copy for at least three years.</w:t>
            </w:r>
          </w:p>
        </w:tc>
      </w:tr>
      <w:tr>
        <w:trPr>
          <w:trHeight w:val="441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0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10: Do year-end payroll tax reports.</w:t>
            </w: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federal</w:t>
            </w:r>
            <w:r>
              <w:rPr>
                <w:color w:val="1154CC"/>
                <w:position w:val="2"/>
                <w:sz w:val="22"/>
                <w:u w:val="thick" w:color="1154CC"/>
              </w:rPr>
              <w:t> </w:t>
            </w:r>
            <w:hyperlink r:id="rId27">
              <w:r>
                <w:rPr>
                  <w:color w:val="1154CC"/>
                  <w:position w:val="2"/>
                  <w:sz w:val="22"/>
                  <w:u w:val="thick" w:color="1154CC"/>
                </w:rPr>
                <w:t>Forms W-2</w:t>
              </w:r>
            </w:hyperlink>
            <w:r>
              <w:rPr>
                <w:color w:val="1154CC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 (for employees) by Jan</w:t>
            </w:r>
            <w:r>
              <w:rPr>
                <w:spacing w:val="-2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0"/>
              <w:ind w:left="810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federal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IRS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Jan.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31;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you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have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&lt;250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employees,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you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can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 </w:t>
            </w:r>
            <w:r>
              <w:rPr>
                <w:sz w:val="22"/>
              </w:rPr>
              <w:t>Feb.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28</w:t>
            </w:r>
          </w:p>
          <w:p>
            <w:pPr>
              <w:pStyle w:val="TableParagraph"/>
              <w:spacing w:before="33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Washington, D.C. state W-2 forms by Jan.</w:t>
            </w:r>
            <w:r>
              <w:rPr>
                <w:spacing w:val="-1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0"/>
              <w:ind w:left="810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Washington,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D.C.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state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Washington,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D.C.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Dept.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of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Revenue </w:t>
            </w:r>
            <w:r>
              <w:rPr>
                <w:sz w:val="22"/>
              </w:rPr>
              <w:t>electronically if you have &gt;250 employees) by Jan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31</w:t>
            </w:r>
          </w:p>
          <w:p>
            <w:pPr>
              <w:pStyle w:val="TableParagraph"/>
              <w:spacing w:line="276" w:lineRule="auto" w:before="32"/>
              <w:ind w:left="810" w:right="258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Washington,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D.C.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state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Washington,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D.C.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Dept.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of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Revenue </w:t>
            </w:r>
            <w:r>
              <w:rPr>
                <w:sz w:val="22"/>
              </w:rPr>
              <w:t>via paper or electronically by Feb. 28 if you have &lt;250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employees</w:t>
            </w:r>
          </w:p>
          <w:p>
            <w:pPr>
              <w:pStyle w:val="TableParagraph"/>
              <w:spacing w:before="33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</w:t>
            </w:r>
            <w:hyperlink r:id="rId28">
              <w:r>
                <w:rPr>
                  <w:color w:val="1154CC"/>
                  <w:position w:val="2"/>
                  <w:sz w:val="22"/>
                  <w:u w:val="thick" w:color="1154CC"/>
                </w:rPr>
                <w:t>1099</w:t>
              </w:r>
              <w:r>
                <w:rPr>
                  <w:color w:val="1154CC"/>
                  <w:position w:val="2"/>
                  <w:sz w:val="22"/>
                </w:rPr>
                <w:t> </w:t>
              </w:r>
            </w:hyperlink>
            <w:r>
              <w:rPr>
                <w:position w:val="2"/>
                <w:sz w:val="22"/>
              </w:rPr>
              <w:t>forms (for contractors) by Jan.</w:t>
            </w:r>
            <w:r>
              <w:rPr>
                <w:spacing w:val="-1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0"/>
              <w:ind w:left="810" w:right="258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1099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IRS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March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1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mailing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or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March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submitting </w:t>
            </w:r>
            <w:r>
              <w:rPr>
                <w:sz w:val="22"/>
              </w:rPr>
              <w:t>electronically</w:t>
            </w:r>
          </w:p>
        </w:tc>
      </w:tr>
    </w:tbl>
    <w:sectPr>
      <w:pgSz w:w="12240" w:h="15840"/>
      <w:pgMar w:header="0" w:footer="687" w:top="560" w:bottom="880" w:left="7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PGothic">
    <w:altName w:val="MS PGothic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30912">
          <wp:simplePos x="0" y="0"/>
          <wp:positionH relativeFrom="page">
            <wp:posOffset>4906290</wp:posOffset>
          </wp:positionH>
          <wp:positionV relativeFrom="page">
            <wp:posOffset>9494971</wp:posOffset>
          </wp:positionV>
          <wp:extent cx="2735919" cy="34035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5919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irs.gov/businesses/small-businesses-self-employed/apply-for-an-employer-identification-number-ein-online" TargetMode="External"/><Relationship Id="rId7" Type="http://schemas.openxmlformats.org/officeDocument/2006/relationships/hyperlink" Target="https://www.eftps.gov/eftps/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mytax.dc.gov/?link=FR500" TargetMode="External"/><Relationship Id="rId10" Type="http://schemas.openxmlformats.org/officeDocument/2006/relationships/hyperlink" Target="https://otr.cfo.dc.gov/" TargetMode="External"/><Relationship Id="rId11" Type="http://schemas.openxmlformats.org/officeDocument/2006/relationships/hyperlink" Target="https://essp.does.dc.gov/DOES%20ESSP%20Employer%20Landing%20Page.html" TargetMode="External"/><Relationship Id="rId12" Type="http://schemas.openxmlformats.org/officeDocument/2006/relationships/hyperlink" Target="https://fitsmallbusiness.com/best-payroll-services/" TargetMode="External"/><Relationship Id="rId13" Type="http://schemas.openxmlformats.org/officeDocument/2006/relationships/hyperlink" Target="https://www.irs.gov/pub/irs-pdf/fw4.pdf" TargetMode="External"/><Relationship Id="rId14" Type="http://schemas.openxmlformats.org/officeDocument/2006/relationships/hyperlink" Target="https://www.justice.gov/crt/page/file/1335666/download" TargetMode="External"/><Relationship Id="rId15" Type="http://schemas.openxmlformats.org/officeDocument/2006/relationships/hyperlink" Target="https://www.uscis.gov/sites/default/files/document/forms/i-9-paper-version.pdf" TargetMode="External"/><Relationship Id="rId16" Type="http://schemas.openxmlformats.org/officeDocument/2006/relationships/hyperlink" Target="https://fitsmallbusiness.com/wp-content/uploads/2022/11/Direct-Deposit-Authorization-Form.pdf" TargetMode="External"/><Relationship Id="rId17" Type="http://schemas.openxmlformats.org/officeDocument/2006/relationships/hyperlink" Target="https://fitsmallbusiness.com/exempt-vs-non-exempt-employees/" TargetMode="External"/><Relationship Id="rId18" Type="http://schemas.openxmlformats.org/officeDocument/2006/relationships/hyperlink" Target="https://fitsmallbusiness.com/timesheet-templates/" TargetMode="External"/><Relationship Id="rId19" Type="http://schemas.openxmlformats.org/officeDocument/2006/relationships/hyperlink" Target="https://fitsmallbusiness.com/best-time-and-attendance-software/" TargetMode="External"/><Relationship Id="rId20" Type="http://schemas.openxmlformats.org/officeDocument/2006/relationships/hyperlink" Target="https://fitsmallbusiness.com/how-to-do-payroll/" TargetMode="External"/><Relationship Id="rId21" Type="http://schemas.openxmlformats.org/officeDocument/2006/relationships/hyperlink" Target="https://fitsmallbusiness.com/free-payroll-template/" TargetMode="External"/><Relationship Id="rId22" Type="http://schemas.openxmlformats.org/officeDocument/2006/relationships/hyperlink" Target="https://www.irs.gov/pub/irs-pdf/f1040sc.pdf" TargetMode="External"/><Relationship Id="rId23" Type="http://schemas.openxmlformats.org/officeDocument/2006/relationships/hyperlink" Target="https://www.irs.gov/pub/irs-pdf/f1120.pdf" TargetMode="External"/><Relationship Id="rId24" Type="http://schemas.openxmlformats.org/officeDocument/2006/relationships/hyperlink" Target="https://www.irs.gov/pub/irs-pdf/f1120s.pdf" TargetMode="External"/><Relationship Id="rId25" Type="http://schemas.openxmlformats.org/officeDocument/2006/relationships/hyperlink" Target="https://otr.cfo.dc.gov/node/1636266" TargetMode="External"/><Relationship Id="rId26" Type="http://schemas.openxmlformats.org/officeDocument/2006/relationships/hyperlink" Target="https://otr.cfo.dc.gov/node/1636471" TargetMode="External"/><Relationship Id="rId27" Type="http://schemas.openxmlformats.org/officeDocument/2006/relationships/hyperlink" Target="https://www.irs.gov/pub/irs-pdf/fw2.pdf" TargetMode="External"/><Relationship Id="rId28" Type="http://schemas.openxmlformats.org/officeDocument/2006/relationships/hyperlink" Target="https://www.irs.gov/pub/irs-pdf/f1099msc.pdf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Do Payroll in Washington, D.C.</dc:title>
  <dcterms:created xsi:type="dcterms:W3CDTF">2023-12-12T19:24:40Z</dcterms:created>
  <dcterms:modified xsi:type="dcterms:W3CDTF">2023-12-12T19:24:40Z</dcterms:modified>
</cp:coreProperties>
</file>