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18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1850.4998779296875"/>
        <w:jc w:val="right"/>
        <w:rPr>
          <w:rFonts w:ascii="PT Sans" w:cs="PT Sans" w:eastAsia="PT Sans" w:hAnsi="PT Sans"/>
          <w:b w:val="1"/>
          <w:color w:val="155e85"/>
          <w:sz w:val="56"/>
          <w:szCs w:val="56"/>
        </w:rPr>
      </w:pPr>
      <w:r w:rsidDel="00000000" w:rsidR="00000000" w:rsidRPr="00000000">
        <w:rPr>
          <w:rFonts w:ascii="PT Sans" w:cs="PT Sans" w:eastAsia="PT Sans" w:hAnsi="PT Sans"/>
          <w:b w:val="1"/>
          <w:color w:val="155e85"/>
          <w:sz w:val="56"/>
          <w:szCs w:val="56"/>
          <w:rtl w:val="0"/>
        </w:rPr>
        <w:t xml:space="preserve">GENERAL USE SALES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PT Sans" w:cs="PT Sans" w:eastAsia="PT Sans" w:hAnsi="PT Sans"/>
          <w:b w:val="1"/>
          <w:color w:val="155e85"/>
          <w:sz w:val="56"/>
          <w:szCs w:val="56"/>
        </w:rPr>
      </w:pPr>
      <w:r w:rsidDel="00000000" w:rsidR="00000000" w:rsidRPr="00000000">
        <w:rPr>
          <w:rFonts w:ascii="PT Sans" w:cs="PT Sans" w:eastAsia="PT Sans" w:hAnsi="PT Sans"/>
          <w:b w:val="1"/>
          <w:color w:val="155e85"/>
          <w:sz w:val="56"/>
          <w:szCs w:val="56"/>
          <w:rtl w:val="0"/>
        </w:rPr>
        <w:t xml:space="preserve">PERFORMANCE REVIEW TEMPLATE </w:t>
      </w:r>
    </w:p>
    <w:p w:rsidR="00000000" w:rsidDel="00000000" w:rsidP="00000000" w:rsidRDefault="00000000" w:rsidRPr="00000000" w14:paraId="00000004">
      <w:pPr>
        <w:widowControl w:val="0"/>
        <w:spacing w:before="994.15771484375" w:line="240" w:lineRule="auto"/>
        <w:ind w:left="18.0999755859375" w:firstLine="0"/>
        <w:rPr>
          <w:rFonts w:ascii="PT Sans" w:cs="PT Sans" w:eastAsia="PT Sans" w:hAnsi="PT Sans"/>
          <w:b w:val="1"/>
          <w:color w:val="155e85"/>
          <w:sz w:val="30"/>
          <w:szCs w:val="30"/>
        </w:rPr>
      </w:pPr>
      <w:r w:rsidDel="00000000" w:rsidR="00000000" w:rsidRPr="00000000">
        <w:rPr>
          <w:rFonts w:ascii="PT Sans" w:cs="PT Sans" w:eastAsia="PT Sans" w:hAnsi="PT Sans"/>
          <w:b w:val="1"/>
          <w:color w:val="155e85"/>
          <w:sz w:val="30"/>
          <w:szCs w:val="30"/>
          <w:rtl w:val="0"/>
        </w:rPr>
        <w:t xml:space="preserve">Sales Activity Performance </w:t>
      </w:r>
    </w:p>
    <w:p w:rsidR="00000000" w:rsidDel="00000000" w:rsidP="00000000" w:rsidRDefault="00000000" w:rsidRPr="00000000" w14:paraId="00000005">
      <w:pPr>
        <w:widowControl w:val="0"/>
        <w:spacing w:before="285.8984375" w:line="240" w:lineRule="auto"/>
        <w:ind w:left="16.479949951171875" w:firstLine="0"/>
        <w:rPr>
          <w:rFonts w:ascii="PT Sans" w:cs="PT Sans" w:eastAsia="PT Sans" w:hAnsi="PT Sans"/>
          <w:b w:val="1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color w:val="231f20"/>
          <w:sz w:val="24"/>
          <w:szCs w:val="24"/>
          <w:rtl w:val="0"/>
        </w:rPr>
        <w:t xml:space="preserve">Scale: </w:t>
      </w:r>
    </w:p>
    <w:p w:rsidR="00000000" w:rsidDel="00000000" w:rsidP="00000000" w:rsidRDefault="00000000" w:rsidRPr="00000000" w14:paraId="00000006">
      <w:pPr>
        <w:widowControl w:val="0"/>
        <w:spacing w:before="7.919921875" w:line="240" w:lineRule="auto"/>
        <w:ind w:left="26.799926757812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1 = Far Below Quota or Goal Expectation  </w:t>
      </w:r>
    </w:p>
    <w:p w:rsidR="00000000" w:rsidDel="00000000" w:rsidP="00000000" w:rsidRDefault="00000000" w:rsidRPr="00000000" w14:paraId="00000007">
      <w:pPr>
        <w:widowControl w:val="0"/>
        <w:spacing w:before="7.918701171875" w:line="240" w:lineRule="auto"/>
        <w:ind w:left="24.88006591796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2 = Slightly Below Quota or Goal Expectation  </w:t>
      </w:r>
    </w:p>
    <w:p w:rsidR="00000000" w:rsidDel="00000000" w:rsidP="00000000" w:rsidRDefault="00000000" w:rsidRPr="00000000" w14:paraId="00000008">
      <w:pPr>
        <w:widowControl w:val="0"/>
        <w:spacing w:before="7.921142578125" w:line="240" w:lineRule="auto"/>
        <w:ind w:left="31.1199951171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3 = Hit Quota or Goal Expectation  </w:t>
      </w:r>
    </w:p>
    <w:p w:rsidR="00000000" w:rsidDel="00000000" w:rsidP="00000000" w:rsidRDefault="00000000" w:rsidRPr="00000000" w14:paraId="00000009">
      <w:pPr>
        <w:widowControl w:val="0"/>
        <w:spacing w:before="7.918701171875" w:line="240" w:lineRule="auto"/>
        <w:ind w:left="14.79995727539062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4 = Exceeded Quota or Goal Expectation  </w:t>
      </w:r>
    </w:p>
    <w:p w:rsidR="00000000" w:rsidDel="00000000" w:rsidP="00000000" w:rsidRDefault="00000000" w:rsidRPr="00000000" w14:paraId="0000000A">
      <w:pPr>
        <w:widowControl w:val="0"/>
        <w:spacing w:before="7.918701171875" w:line="240" w:lineRule="auto"/>
        <w:ind w:left="28.4800720214843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5 = Far Exceeded Quota or Goal Expectation  </w:t>
      </w:r>
    </w:p>
    <w:p w:rsidR="00000000" w:rsidDel="00000000" w:rsidP="00000000" w:rsidRDefault="00000000" w:rsidRPr="00000000" w14:paraId="0000000B">
      <w:pPr>
        <w:widowControl w:val="0"/>
        <w:spacing w:before="295.92041015625" w:line="239.90389823913574" w:lineRule="auto"/>
        <w:ind w:left="21.999969482421875" w:right="383.47900390625" w:hanging="2.39990234375"/>
        <w:rPr>
          <w:rFonts w:ascii="PT Sans" w:cs="PT Sans" w:eastAsia="PT Sans" w:hAnsi="PT Sans"/>
          <w:i w:val="1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i w:val="1"/>
          <w:color w:val="231f20"/>
          <w:sz w:val="24"/>
          <w:szCs w:val="24"/>
          <w:rtl w:val="0"/>
        </w:rPr>
        <w:t xml:space="preserve">Note: You can replace each activity with ones suitable for the specific sales role and fill in your  corresponding notes</w:t>
      </w:r>
    </w:p>
    <w:p w:rsidR="00000000" w:rsidDel="00000000" w:rsidP="00000000" w:rsidRDefault="00000000" w:rsidRPr="00000000" w14:paraId="0000000C">
      <w:pPr>
        <w:widowControl w:val="0"/>
        <w:spacing w:before="295.92041015625" w:line="239.90389823913574" w:lineRule="auto"/>
        <w:ind w:left="21.999969482421875" w:right="383.47900390625" w:hanging="2.39990234375"/>
        <w:rPr>
          <w:rFonts w:ascii="PT Sans" w:cs="PT Sans" w:eastAsia="PT Sans" w:hAnsi="PT Sans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2764282226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7.69775390625"/>
        <w:gridCol w:w="1670.4000854492188"/>
        <w:gridCol w:w="1411.199951171875"/>
        <w:gridCol w:w="3869.9786376953125"/>
        <w:tblGridChange w:id="0">
          <w:tblGrid>
            <w:gridCol w:w="2677.69775390625"/>
            <w:gridCol w:w="1670.4000854492188"/>
            <w:gridCol w:w="1411.199951171875"/>
            <w:gridCol w:w="3869.9786376953125"/>
          </w:tblGrid>
        </w:tblGridChange>
      </w:tblGrid>
      <w:tr>
        <w:trPr>
          <w:cantSplit w:val="0"/>
          <w:trHeight w:val="62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Activity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Metric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Rating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Notes</w:t>
            </w:r>
          </w:p>
        </w:tc>
      </w:tr>
      <w:tr>
        <w:trPr>
          <w:cantSplit w:val="0"/>
          <w:trHeight w:val="756.3195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Lead Generation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377.9138183593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X leads  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7.91992187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generated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39.90389823913574" w:lineRule="auto"/>
              <w:ind w:left="353.8525390625" w:right="229.37377929687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Hit lead generation goal for the  quarter</w:t>
            </w:r>
          </w:p>
        </w:tc>
      </w:tr>
      <w:tr>
        <w:trPr>
          <w:cantSplit w:val="0"/>
          <w:trHeight w:val="1346.08032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308.19366455078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Sales Presentation  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7.91992187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Effectiveness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218.3135986328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X% rate of  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7.919921875" w:line="239.90389823913574" w:lineRule="auto"/>
              <w:ind w:left="176.3720703125" w:right="53.78784179687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presentations  to proposals  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39.90389823913574" w:lineRule="auto"/>
              <w:ind w:left="248.367919921875" w:right="123.8745117187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Exceeds company average for this  conversion rate </w:t>
            </w:r>
          </w:p>
        </w:tc>
      </w:tr>
      <w:tr>
        <w:trPr>
          <w:cantSplit w:val="0"/>
          <w:trHeight w:val="756.32019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Closing Deals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Exceeded goal for deals closed</w:t>
            </w:r>
          </w:p>
        </w:tc>
      </w:tr>
      <w:tr>
        <w:trPr>
          <w:cantSplit w:val="0"/>
          <w:trHeight w:val="1010.641784667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530.92041015625"/>
              <w:jc w:val="right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Strong sales performance,  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7.9180908203125" w:line="239.90339756011963" w:lineRule="auto"/>
              <w:ind w:left="192.572021484375" w:right="78.1494140625" w:firstLine="0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particularly during the later stages  of the sales process </w:t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28.000030517578125" w:firstLine="0"/>
        <w:rPr>
          <w:rFonts w:ascii="PT Sans" w:cs="PT Sans" w:eastAsia="PT Sans" w:hAnsi="PT Sans"/>
          <w:b w:val="1"/>
          <w:color w:val="155e85"/>
          <w:sz w:val="30"/>
          <w:szCs w:val="30"/>
        </w:rPr>
      </w:pPr>
      <w:r w:rsidDel="00000000" w:rsidR="00000000" w:rsidRPr="00000000">
        <w:rPr>
          <w:rFonts w:ascii="PT Sans" w:cs="PT Sans" w:eastAsia="PT Sans" w:hAnsi="PT Sans"/>
          <w:b w:val="1"/>
          <w:color w:val="155e85"/>
          <w:sz w:val="30"/>
          <w:szCs w:val="30"/>
          <w:rtl w:val="0"/>
        </w:rPr>
        <w:t xml:space="preserve">Miscellaneous Job Performance </w:t>
      </w:r>
    </w:p>
    <w:p w:rsidR="00000000" w:rsidDel="00000000" w:rsidP="00000000" w:rsidRDefault="00000000" w:rsidRPr="00000000" w14:paraId="00000028">
      <w:pPr>
        <w:widowControl w:val="0"/>
        <w:spacing w:before="285.899658203125" w:line="240" w:lineRule="auto"/>
        <w:ind w:left="16.479949951171875" w:firstLine="0"/>
        <w:rPr>
          <w:rFonts w:ascii="PT Sans" w:cs="PT Sans" w:eastAsia="PT Sans" w:hAnsi="PT Sans"/>
          <w:b w:val="1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color w:val="231f20"/>
          <w:sz w:val="24"/>
          <w:szCs w:val="24"/>
          <w:rtl w:val="0"/>
        </w:rPr>
        <w:t xml:space="preserve">Scale: </w:t>
      </w:r>
    </w:p>
    <w:p w:rsidR="00000000" w:rsidDel="00000000" w:rsidP="00000000" w:rsidRDefault="00000000" w:rsidRPr="00000000" w14:paraId="00000029">
      <w:pPr>
        <w:widowControl w:val="0"/>
        <w:spacing w:before="7.919921875" w:line="240" w:lineRule="auto"/>
        <w:ind w:left="26.799926757812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1 = Below Expectations  </w:t>
      </w:r>
    </w:p>
    <w:p w:rsidR="00000000" w:rsidDel="00000000" w:rsidP="00000000" w:rsidRDefault="00000000" w:rsidRPr="00000000" w14:paraId="0000002A">
      <w:pPr>
        <w:widowControl w:val="0"/>
        <w:spacing w:before="7.918701171875" w:line="240" w:lineRule="auto"/>
        <w:ind w:left="24.88006591796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2 = Meets Expectations  </w:t>
      </w:r>
    </w:p>
    <w:p w:rsidR="00000000" w:rsidDel="00000000" w:rsidP="00000000" w:rsidRDefault="00000000" w:rsidRPr="00000000" w14:paraId="0000002B">
      <w:pPr>
        <w:widowControl w:val="0"/>
        <w:spacing w:before="7.919921875" w:line="240" w:lineRule="auto"/>
        <w:ind w:left="31.1199951171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3 = Exceeded Expectations</w:t>
      </w:r>
    </w:p>
    <w:p w:rsidR="00000000" w:rsidDel="00000000" w:rsidP="00000000" w:rsidRDefault="00000000" w:rsidRPr="00000000" w14:paraId="0000002C">
      <w:pPr>
        <w:widowControl w:val="0"/>
        <w:spacing w:before="7.919921875" w:line="240" w:lineRule="auto"/>
        <w:ind w:left="31.1199951171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17.796936035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7.69775390625"/>
        <w:gridCol w:w="1411.2002563476562"/>
        <w:gridCol w:w="5528.89892578125"/>
        <w:tblGridChange w:id="0">
          <w:tblGrid>
            <w:gridCol w:w="2677.69775390625"/>
            <w:gridCol w:w="1411.2002563476562"/>
            <w:gridCol w:w="5528.89892578125"/>
          </w:tblGrid>
        </w:tblGridChange>
      </w:tblGrid>
      <w:tr>
        <w:trPr>
          <w:cantSplit w:val="0"/>
          <w:trHeight w:val="62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Activity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Rating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Notes</w:t>
            </w:r>
          </w:p>
        </w:tc>
      </w:tr>
      <w:tr>
        <w:trPr>
          <w:cantSplit w:val="0"/>
          <w:trHeight w:val="807.3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726.0635375976562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Workplace  </w:t>
            </w:r>
          </w:p>
          <w:p w:rsidR="00000000" w:rsidDel="00000000" w:rsidP="00000000" w:rsidRDefault="00000000" w:rsidRPr="00000000" w14:paraId="00000031">
            <w:pPr>
              <w:widowControl w:val="0"/>
              <w:spacing w:before="7.91992187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Professionalism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right="664.1259765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Consistently shows up on time and acts  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7.919921875" w:line="240" w:lineRule="auto"/>
              <w:ind w:right="1087.0343017578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professionally in the workplace </w:t>
            </w:r>
          </w:p>
        </w:tc>
      </w:tr>
      <w:tr>
        <w:trPr>
          <w:cantSplit w:val="0"/>
          <w:trHeight w:val="79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Coachable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Meets expectations for eagerness to learn</w:t>
            </w:r>
          </w:p>
        </w:tc>
      </w:tr>
      <w:tr>
        <w:trPr>
          <w:cantSplit w:val="0"/>
          <w:trHeight w:val="80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Project Management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39.90389823913574" w:lineRule="auto"/>
              <w:ind w:left="186.25" w:right="61.760253906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Did a great job handling non-sales projects such as  the CRM migration and new sales rep onboarding </w:t>
            </w:r>
          </w:p>
        </w:tc>
      </w:tr>
      <w:tr>
        <w:trPr>
          <w:cantSplit w:val="0"/>
          <w:trHeight w:val="1010.64392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39.9044132232666" w:lineRule="auto"/>
              <w:ind w:left="357.1142578125" w:right="241.9921875" w:firstLine="0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Employee exhibits solid workplace performance  relating to non-sales activities and attributes</w:t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1852613</wp:posOffset>
            </wp:positionH>
            <wp:positionV relativeFrom="paragraph">
              <wp:posOffset>800100</wp:posOffset>
            </wp:positionV>
            <wp:extent cx="2236711" cy="257746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6711" cy="2577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